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59"/>
        <w:rPr>
          <w:rFonts w:ascii="Times New Roman;serif" w:hAnsi="Times New Roman;serif"/>
          <w:b w:val="false"/>
          <w:i w:val="false"/>
          <w:caps w:val="false"/>
          <w:smallCaps w:val="false"/>
          <w:color w:val="000000"/>
          <w:sz w:val="32"/>
        </w:rPr>
      </w:pPr>
      <w:bookmarkStart w:id="0" w:name="che-20260728x8k.htm"/>
      <w:bookmarkStart w:id="1" w:name="ksche20260728x8k"/>
      <w:bookmarkEnd w:id="0"/>
      <w:bookmarkEnd w:id="1"/>
      <w:r>
        <w:rPr>
          <w:rFonts w:ascii="Times New Roman;serif" w:hAnsi="Times New Roman;serif"/>
          <w:b w:val="false"/>
          <w:i w:val="false"/>
          <w:caps w:val="false"/>
          <w:smallCaps w:val="false"/>
          <w:color w:val="000000"/>
          <w:sz w:val="32"/>
        </w:rPr>
        <w:t>UNITED STATES</w:t>
      </w:r>
    </w:p>
    <w:p>
      <w:pPr>
        <w:pStyle w:val="TextBody"/>
        <w:bidi w:val="0"/>
        <w:spacing w:lineRule="auto" w:line="259"/>
        <w:rPr>
          <w:rFonts w:ascii="Times New Roman;serif" w:hAnsi="Times New Roman;serif"/>
          <w:b w:val="false"/>
          <w:i w:val="false"/>
          <w:caps w:val="false"/>
          <w:smallCaps w:val="false"/>
          <w:color w:val="000000"/>
          <w:sz w:val="32"/>
        </w:rPr>
      </w:pPr>
      <w:r>
        <w:rPr>
          <w:rFonts w:ascii="Times New Roman;serif" w:hAnsi="Times New Roman;serif"/>
          <w:b w:val="false"/>
          <w:i w:val="false"/>
          <w:caps w:val="false"/>
          <w:smallCaps w:val="false"/>
          <w:color w:val="000000"/>
          <w:sz w:val="32"/>
        </w:rPr>
        <w:t>SECURITIES AND EXCHANGE COMMISSION</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Washington, D.C.  20549</w:t>
      </w:r>
    </w:p>
    <w:p>
      <w:pPr>
        <w:pStyle w:val="TextBody"/>
        <w:bidi w:val="0"/>
        <w:spacing w:lineRule="auto" w:line="259"/>
        <w:rPr>
          <w:rFonts w:ascii="Times New Roman;serif" w:hAnsi="Times New Roman;serif"/>
          <w:sz w:val="32"/>
        </w:rPr>
      </w:pPr>
      <w:r>
        <w:rPr>
          <w:rFonts w:ascii="Times New Roman;serif" w:hAnsi="Times New Roman;serif"/>
          <w:b/>
          <w:i w:val="false"/>
          <w:caps w:val="false"/>
          <w:smallCaps w:val="false"/>
          <w:color w:val="000000"/>
          <w:sz w:val="32"/>
        </w:rPr>
        <w:t>FORM 8</w:t>
      </w:r>
      <w:r>
        <w:rPr>
          <w:rFonts w:ascii="MS Mincho" w:hAnsi="MS Mincho"/>
          <w:b/>
          <w:i w:val="false"/>
          <w:caps w:val="false"/>
          <w:smallCaps w:val="false"/>
          <w:color w:val="000000"/>
          <w:sz w:val="32"/>
        </w:rPr>
        <w:t>-</w:t>
      </w:r>
      <w:r>
        <w:rPr>
          <w:rFonts w:ascii="Times New Roman;serif" w:hAnsi="Times New Roman;serif"/>
          <w:b/>
          <w:i w:val="false"/>
          <w:caps w:val="false"/>
          <w:smallCaps w:val="false"/>
          <w:color w:val="000000"/>
          <w:sz w:val="32"/>
        </w:rPr>
        <w:t>K</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CURRENT REPORT</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Pursuant to Section 13 or 15(d) of the Securities Exchange Act of 1934</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Date of Report (date of earliest event reported):</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July 28, 20</w:t>
      </w:r>
      <w:r>
        <w:rPr>
          <w:rFonts w:ascii="Times New Roman;serif" w:hAnsi="Times New Roman;serif"/>
          <w:b w:val="false"/>
          <w:i w:val="false"/>
          <w:caps w:val="false"/>
          <w:smallCaps w:val="false"/>
          <w:sz w:val="20"/>
        </w:rPr>
        <w:t>26</w:t>
      </w:r>
    </w:p>
    <w:p>
      <w:pPr>
        <w:pStyle w:val="TextBody"/>
        <w:bidi w:val="0"/>
        <w:spacing w:lineRule="auto" w:line="259"/>
        <w:rPr>
          <w:rFonts w:ascii="Times New Roman;serif" w:hAnsi="Times New Roman;serif"/>
          <w:b w:val="false"/>
          <w:i w:val="false"/>
          <w:caps w:val="false"/>
          <w:smallCaps w:val="false"/>
          <w:color w:val="000000"/>
          <w:sz w:val="32"/>
        </w:rPr>
      </w:pPr>
      <w:r>
        <w:rPr>
          <w:rFonts w:ascii="Times New Roman;serif" w:hAnsi="Times New Roman;serif"/>
          <w:b w:val="false"/>
          <w:i w:val="false"/>
          <w:caps w:val="false"/>
          <w:smallCaps w:val="false"/>
          <w:color w:val="000000"/>
          <w:sz w:val="32"/>
        </w:rPr>
        <w:t>CHEMED CORPORATION</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(Exact name of registrant as specified in its charter)</w:t>
      </w:r>
    </w:p>
    <w:tbl>
      <w:tblPr>
        <w:tblW w:w="5073" w:type="dxa"/>
        <w:jc w:val="left"/>
        <w:tblInd w:w="0" w:type="dxa"/>
        <w:tblLayout w:type="fixed"/>
        <w:tblCellMar>
          <w:top w:w="0" w:type="dxa"/>
          <w:left w:w="0" w:type="dxa"/>
          <w:bottom w:w="0" w:type="dxa"/>
          <w:right w:w="0" w:type="dxa"/>
        </w:tblCellMar>
      </w:tblPr>
      <w:tblGrid>
        <w:gridCol w:w="1291"/>
        <w:gridCol w:w="2296"/>
        <w:gridCol w:w="1486"/>
      </w:tblGrid>
      <w:tr>
        <w:trPr/>
        <w:tc>
          <w:tcPr>
            <w:tcW w:w="129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129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Delaware</w:t>
            </w:r>
            <w:r>
              <w:rPr>
                <w:rFonts w:ascii="Times New Roman;serif" w:hAnsi="Times New Roman;serif"/>
                <w:caps w:val="false"/>
                <w:smallCaps w:val="false"/>
                <w:color w:val="000000"/>
                <w:sz w:val="20"/>
              </w:rPr>
              <w:t xml:space="preserve"> </w:t>
            </w:r>
          </w:p>
        </w:tc>
        <w:tc>
          <w:tcPr>
            <w:tcW w:w="2296" w:type="dxa"/>
            <w:tcBorders/>
            <w:vAlign w:val="center"/>
          </w:tcPr>
          <w:p>
            <w:pPr>
              <w:pStyle w:val="TableContents"/>
              <w:bidi w:val="0"/>
              <w:spacing w:lineRule="auto" w:line="259" w:before="0" w:after="283"/>
              <w:rPr/>
            </w:pPr>
            <w:r>
              <w:rPr>
                <w:caps w:val="false"/>
                <w:smallCaps w:val="false"/>
                <w:color w:val="000000"/>
              </w:rPr>
              <w:t xml:space="preserve">     </w:t>
            </w:r>
            <w:r>
              <w:rPr>
                <w:rFonts w:ascii="Times New Roman;serif" w:hAnsi="Times New Roman;serif"/>
                <w:b w:val="false"/>
                <w:i w:val="false"/>
                <w:caps w:val="false"/>
                <w:smallCaps w:val="false"/>
                <w:color w:val="000000"/>
                <w:sz w:val="20"/>
              </w:rPr>
              <w:t>1</w:t>
            </w:r>
            <w:r>
              <w:rPr>
                <w:rFonts w:ascii="MS Mincho" w:hAnsi="MS Mincho"/>
                <w:b w:val="false"/>
                <w:i w:val="false"/>
                <w:caps w:val="false"/>
                <w:smallCaps w:val="false"/>
                <w:color w:val="000000"/>
                <w:sz w:val="20"/>
              </w:rPr>
              <w:t>-</w:t>
            </w:r>
            <w:r>
              <w:rPr>
                <w:rFonts w:ascii="Times New Roman;serif" w:hAnsi="Times New Roman;serif"/>
                <w:b w:val="false"/>
                <w:i w:val="false"/>
                <w:caps w:val="false"/>
                <w:smallCaps w:val="false"/>
                <w:color w:val="000000"/>
                <w:sz w:val="20"/>
              </w:rPr>
              <w:t>8351</w:t>
            </w:r>
            <w:r>
              <w:rPr>
                <w:rFonts w:ascii="Times New Roman;serif" w:hAnsi="Times New Roman;serif"/>
                <w:caps w:val="false"/>
                <w:smallCaps w:val="false"/>
                <w:color w:val="000000"/>
                <w:sz w:val="20"/>
              </w:rPr>
              <w:t xml:space="preserve"> </w:t>
            </w:r>
          </w:p>
        </w:tc>
        <w:tc>
          <w:tcPr>
            <w:tcW w:w="1486" w:type="dxa"/>
            <w:tcBorders/>
            <w:vAlign w:val="center"/>
          </w:tcPr>
          <w:p>
            <w:pPr>
              <w:pStyle w:val="TableContents"/>
              <w:bidi w:val="0"/>
              <w:spacing w:lineRule="auto" w:line="259" w:before="0" w:after="283"/>
              <w:rPr/>
            </w:pPr>
            <w:r>
              <w:rPr>
                <w:caps w:val="false"/>
                <w:smallCaps w:val="false"/>
                <w:color w:val="000000"/>
              </w:rPr>
              <w:t xml:space="preserve">  </w:t>
            </w:r>
            <w:r>
              <w:rPr>
                <w:rFonts w:ascii="Times New Roman;serif" w:hAnsi="Times New Roman;serif"/>
                <w:b w:val="false"/>
                <w:i w:val="false"/>
                <w:caps w:val="false"/>
                <w:smallCaps w:val="false"/>
                <w:color w:val="000000"/>
                <w:sz w:val="20"/>
              </w:rPr>
              <w:t>31</w:t>
            </w:r>
            <w:r>
              <w:rPr>
                <w:rFonts w:ascii="MS Mincho" w:hAnsi="MS Mincho"/>
                <w:b w:val="false"/>
                <w:i w:val="false"/>
                <w:caps w:val="false"/>
                <w:smallCaps w:val="false"/>
                <w:color w:val="000000"/>
                <w:sz w:val="20"/>
              </w:rPr>
              <w:t>-</w:t>
            </w:r>
            <w:r>
              <w:rPr>
                <w:rFonts w:ascii="Times New Roman;serif" w:hAnsi="Times New Roman;serif"/>
                <w:b w:val="false"/>
                <w:i w:val="false"/>
                <w:caps w:val="false"/>
                <w:smallCaps w:val="false"/>
                <w:color w:val="000000"/>
                <w:sz w:val="20"/>
              </w:rPr>
              <w:t>0791746</w:t>
            </w:r>
            <w:r>
              <w:rPr>
                <w:rFonts w:ascii="Times New Roman;serif" w:hAnsi="Times New Roman;serif"/>
                <w:caps w:val="false"/>
                <w:smallCaps w:val="false"/>
                <w:color w:val="000000"/>
                <w:sz w:val="20"/>
              </w:rPr>
              <w:t xml:space="preserve"> </w:t>
            </w:r>
          </w:p>
        </w:tc>
      </w:tr>
      <w:tr>
        <w:trPr/>
        <w:tc>
          <w:tcPr>
            <w:tcW w:w="12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(State or other</w:t>
              <w:br/>
              <w:t>‎jurisdiction of</w:t>
              <w:br/>
              <w:t>‎incorporation)</w:t>
            </w:r>
          </w:p>
        </w:tc>
        <w:tc>
          <w:tcPr>
            <w:tcW w:w="22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(Commission File Number)</w:t>
            </w:r>
          </w:p>
        </w:tc>
        <w:tc>
          <w:tcPr>
            <w:tcW w:w="14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(I.R.S. Employer</w:t>
              <w:br/>
              <w:t>‎Identification</w:t>
              <w:br/>
              <w:t>‎Number)</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2600 First Financial Center, 255 East 5th Street, Cincinnati, OH</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45202</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(Address of principal executive offices)             (Zip Code)</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Registrant's telephone number, including area code: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(513) 762</w:t>
      </w:r>
      <w:r>
        <w:rPr>
          <w:rFonts w:ascii="MS Mincho" w:hAnsi="MS Mincho"/>
          <w:b w:val="false"/>
          <w:i w:val="false"/>
          <w:caps w:val="false"/>
          <w:smallCaps w:val="false"/>
          <w:color w:val="000000"/>
          <w:sz w:val="20"/>
        </w:rPr>
        <w:t>-</w:t>
      </w:r>
      <w:r>
        <w:rPr>
          <w:rFonts w:ascii="Times New Roman;serif" w:hAnsi="Times New Roman;serif"/>
          <w:b w:val="false"/>
          <w:i w:val="false"/>
          <w:caps w:val="false"/>
          <w:smallCaps w:val="false"/>
          <w:color w:val="000000"/>
          <w:sz w:val="20"/>
        </w:rPr>
        <w:t>6690</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[_]</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Written communications pursuant to Rule 425 under the Securities Act (17 CFR 230.425)</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[_]</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Soliciting material pursuant to Rule 14a-12 under the Exchange Act (17 CFR 240-14a-12)</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[_]</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Pre-commencement communications pursuant to Rule 14d-2(b) under Exchange Act (17 CFR 240-14d-2(b))</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[_]</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Pre-commencement communications pursuant to Rule 13e-4 (c) under Exchange Act (17 CFR 240-13e-4(c))</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Securities registered pursuant to 12(b) of the Act:</w:t>
      </w:r>
    </w:p>
    <w:tbl>
      <w:tblPr>
        <w:tblW w:w="6693" w:type="dxa"/>
        <w:jc w:val="center"/>
        <w:tblInd w:w="0" w:type="dxa"/>
        <w:tblLayout w:type="fixed"/>
        <w:tblCellMar>
          <w:top w:w="0" w:type="dxa"/>
          <w:left w:w="0" w:type="dxa"/>
          <w:bottom w:w="0" w:type="dxa"/>
          <w:right w:w="0" w:type="dxa"/>
        </w:tblCellMar>
      </w:tblPr>
      <w:tblGrid>
        <w:gridCol w:w="2296"/>
        <w:gridCol w:w="1471"/>
        <w:gridCol w:w="2926"/>
      </w:tblGrid>
      <w:tr>
        <w:trPr/>
        <w:tc>
          <w:tcPr>
            <w:tcW w:w="2296" w:type="dxa"/>
            <w:tcBorders/>
            <w:vAlign w:val="center"/>
          </w:tcPr>
          <w:p>
            <w:pPr>
              <w:pStyle w:val="TableContents"/>
              <w:bidi w:val="0"/>
              <w:spacing w:before="0" w:after="283"/>
              <w:jc w:val="left"/>
              <w:rPr>
                <w:sz w:val="4"/>
                <w:szCs w:val="4"/>
              </w:rPr>
            </w:pPr>
            <w:r>
              <w:rPr>
                <w:sz w:val="4"/>
                <w:szCs w:val="4"/>
              </w:rPr>
            </w:r>
            <w:bookmarkStart w:id="2" w:name="za6e5bab1d81b42f585156d0e8c875df"/>
            <w:bookmarkStart w:id="3" w:name="za6e5bab1d81b42f585156d0e8c875df"/>
            <w:bookmarkEnd w:id="3"/>
          </w:p>
        </w:tc>
        <w:tc>
          <w:tcPr>
            <w:tcW w:w="1471"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lineRule="auto" w:line="259"/>
              <w:jc w:val="left"/>
              <w:rPr>
                <w:caps w:val="false"/>
                <w:smallCaps w:val="false"/>
                <w:color w:val="000000"/>
              </w:rPr>
            </w:pPr>
            <w:r>
              <w:rPr>
                <w:caps w:val="false"/>
                <w:smallCaps w:val="false"/>
                <w:color w:val="000000"/>
              </w:rPr>
              <w:t> </w:t>
            </w:r>
          </w:p>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Title of each class</w:t>
            </w:r>
          </w:p>
        </w:tc>
        <w:tc>
          <w:tcPr>
            <w:tcW w:w="1471" w:type="dxa"/>
            <w:tcBorders/>
            <w:vAlign w:val="center"/>
          </w:tcPr>
          <w:p>
            <w:pPr>
              <w:pStyle w:val="TableContents"/>
              <w:bidi w:val="0"/>
              <w:spacing w:lineRule="auto" w:line="259"/>
              <w:jc w:val="left"/>
              <w:rPr>
                <w:caps w:val="false"/>
                <w:smallCaps w:val="false"/>
                <w:color w:val="000000"/>
              </w:rPr>
            </w:pPr>
            <w:r>
              <w:rPr>
                <w:caps w:val="false"/>
                <w:smallCaps w:val="false"/>
                <w:color w:val="000000"/>
              </w:rPr>
              <w:t> </w:t>
            </w:r>
          </w:p>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Trading symbol</w:t>
            </w:r>
          </w:p>
        </w:tc>
        <w:tc>
          <w:tcPr>
            <w:tcW w:w="2926" w:type="dxa"/>
            <w:tcBorders/>
            <w:vAlign w:val="center"/>
          </w:tcPr>
          <w:p>
            <w:pPr>
              <w:pStyle w:val="TableContents"/>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Name of each exchange on which</w:t>
            </w:r>
          </w:p>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registered</w:t>
            </w:r>
          </w:p>
        </w:tc>
      </w:tr>
      <w:tr>
        <w:trPr/>
        <w:tc>
          <w:tcPr>
            <w:tcW w:w="22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Capital stock $1 par value </w:t>
            </w:r>
          </w:p>
        </w:tc>
        <w:tc>
          <w:tcPr>
            <w:tcW w:w="14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CHE </w:t>
            </w:r>
          </w:p>
        </w:tc>
        <w:tc>
          <w:tcPr>
            <w:tcW w:w="292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NYSE</w:t>
            </w:r>
            <w:r>
              <w:rPr>
                <w:rFonts w:ascii="Times New Roman;serif" w:hAnsi="Times New Roman;serif"/>
                <w:caps w:val="false"/>
                <w:smallCaps w:val="false"/>
                <w:color w:val="000000"/>
                <w:sz w:val="20"/>
              </w:rPr>
              <w:t xml:space="preserve"> </w:t>
            </w:r>
          </w:p>
        </w:tc>
      </w:tr>
    </w:tbl>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Indicate by check mark whether the registrant is an emerging growth company as defined in Rule 405 of the Securities Act of 1933 or Rule 12b-2 of the Securities Exchange Act of 1934.  [_]</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[_]</w:t>
      </w:r>
      <w:bookmarkStart w:id="4" w:name="DSPFPageNumber"/>
      <w:bookmarkStart w:id="5" w:name="DSPFPageNumberArea"/>
      <w:bookmarkStart w:id="6" w:name="DSPFPageBreakArea"/>
      <w:bookmarkEnd w:id="4"/>
      <w:bookmarkEnd w:id="5"/>
      <w:bookmarkEnd w:id="6"/>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Page 1 of 3</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2.02 Results of Operations and Financial Condition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July 28, 2026, Chemed Corporation issued a press release announcing its financial results for the quarter ended June 30, 2026. A copy of the release is furnished herewith as Exhibit 99.</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Item 9.01</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Financial Statements and Exhibits</w:t>
      </w:r>
    </w:p>
    <w:tbl>
      <w:tblPr>
        <w:tblW w:w="7408" w:type="dxa"/>
        <w:jc w:val="left"/>
        <w:tblInd w:w="0" w:type="dxa"/>
        <w:tblLayout w:type="fixed"/>
        <w:tblCellMar>
          <w:top w:w="0" w:type="dxa"/>
          <w:left w:w="0" w:type="dxa"/>
          <w:bottom w:w="0" w:type="dxa"/>
          <w:right w:w="0" w:type="dxa"/>
        </w:tblCellMar>
      </w:tblPr>
      <w:tblGrid>
        <w:gridCol w:w="286"/>
        <w:gridCol w:w="6931"/>
        <w:gridCol w:w="191"/>
      </w:tblGrid>
      <w:tr>
        <w:trPr/>
        <w:tc>
          <w:tcPr>
            <w:tcW w:w="286" w:type="dxa"/>
            <w:tcBorders/>
            <w:vAlign w:val="center"/>
          </w:tcPr>
          <w:p>
            <w:pPr>
              <w:pStyle w:val="TableContents"/>
              <w:bidi w:val="0"/>
              <w:spacing w:before="0" w:after="283"/>
              <w:jc w:val="left"/>
              <w:rPr>
                <w:sz w:val="4"/>
                <w:szCs w:val="4"/>
              </w:rPr>
            </w:pPr>
            <w:r>
              <w:rPr>
                <w:sz w:val="4"/>
                <w:szCs w:val="4"/>
              </w:rPr>
            </w:r>
          </w:p>
        </w:tc>
        <w:tc>
          <w:tcPr>
            <w:tcW w:w="6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w:t>
            </w:r>
          </w:p>
        </w:tc>
        <w:tc>
          <w:tcPr>
            <w:tcW w:w="69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Exhibit</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28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693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28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6931" w:type="dxa"/>
            <w:tcBorders/>
            <w:vAlign w:val="center"/>
          </w:tcPr>
          <w:p>
            <w:pPr>
              <w:pStyle w:val="TableContents"/>
              <w:bidi w:val="0"/>
              <w:spacing w:lineRule="auto" w:line="259" w:before="0" w:after="283"/>
              <w:jc w:val="left"/>
              <w:rPr/>
            </w:pPr>
            <w:hyperlink w:anchor="che-20260728xex99.htm">
              <w:r>
                <w:rPr>
                  <w:rStyle w:val="InternetLink"/>
                  <w:rFonts w:ascii="Times New Roman;serif" w:hAnsi="Times New Roman;serif"/>
                  <w:b w:val="false"/>
                  <w:i w:val="false"/>
                  <w:caps w:val="false"/>
                  <w:smallCaps w:val="false"/>
                  <w:color w:val="0563C1"/>
                  <w:sz w:val="20"/>
                  <w:u w:val="single"/>
                </w:rPr>
                <w:t xml:space="preserve">(99) Registrant’s press release dated July 28, 2026 </w:t>
              </w:r>
            </w:hyperlink>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28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69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 The cover page from this Current Report on Form 8-K formatted in Inline XBRL</w:t>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 w:type="dxa"/>
            <w:tcBorders/>
            <w:vAlign w:val="center"/>
          </w:tcPr>
          <w:p>
            <w:pPr>
              <w:pStyle w:val="TableContents"/>
              <w:bidi w:val="0"/>
              <w:spacing w:before="0" w:after="283"/>
              <w:jc w:val="left"/>
              <w:rPr>
                <w:sz w:val="4"/>
                <w:szCs w:val="4"/>
              </w:rPr>
            </w:pPr>
            <w:r>
              <w:rPr>
                <w:sz w:val="4"/>
                <w:szCs w:val="4"/>
              </w:rPr>
            </w:r>
          </w:p>
        </w:tc>
        <w:tc>
          <w:tcPr>
            <w:tcW w:w="6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Page 2 of 3</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SIGNATURES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requirements of the Securities Exchange Act of 1934, the Registrant has caused this report to be signed on its behalf by the undersigned hereunto duly authorized.</w:t>
      </w:r>
    </w:p>
    <w:tbl>
      <w:tblPr>
        <w:tblW w:w="6862" w:type="dxa"/>
        <w:jc w:val="left"/>
        <w:tblInd w:w="0" w:type="dxa"/>
        <w:tblLayout w:type="fixed"/>
        <w:tblCellMar>
          <w:top w:w="0" w:type="dxa"/>
          <w:left w:w="0" w:type="dxa"/>
          <w:bottom w:w="0" w:type="dxa"/>
          <w:right w:w="0" w:type="dxa"/>
        </w:tblCellMar>
      </w:tblPr>
      <w:tblGrid>
        <w:gridCol w:w="1906"/>
        <w:gridCol w:w="109"/>
        <w:gridCol w:w="406"/>
        <w:gridCol w:w="4441"/>
      </w:tblGrid>
      <w:tr>
        <w:trPr/>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7" w:type="dxa"/>
            <w:gridSpan w:val="2"/>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CHEMED CORPORATION</w:t>
            </w:r>
          </w:p>
        </w:tc>
      </w:tr>
      <w:tr>
        <w:trPr/>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90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Dated:  </w:t>
            </w:r>
            <w:r>
              <w:rPr>
                <w:rFonts w:ascii="Times New Roman;serif" w:hAnsi="Times New Roman;serif"/>
                <w:caps w:val="false"/>
                <w:smallCaps w:val="false"/>
                <w:sz w:val="20"/>
                <w:u w:val="single"/>
              </w:rPr>
              <w:t> </w:t>
            </w:r>
            <w:r>
              <w:rPr>
                <w:rFonts w:ascii="Times New Roman;serif" w:hAnsi="Times New Roman;serif"/>
                <w:b w:val="false"/>
                <w:i w:val="false"/>
                <w:caps w:val="false"/>
                <w:smallCaps w:val="false"/>
                <w:sz w:val="20"/>
                <w:u w:val="single"/>
              </w:rPr>
              <w:t>July 28, 2026</w:t>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By:</w:t>
            </w:r>
          </w:p>
        </w:tc>
        <w:tc>
          <w:tcPr>
            <w:tcW w:w="4441"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 xml:space="preserve">/s/ </w:t>
            </w:r>
            <w:r>
              <w:rPr>
                <w:rFonts w:ascii="Times New Roman;serif" w:hAnsi="Times New Roman;serif"/>
                <w:b w:val="false"/>
                <w:i w:val="false"/>
                <w:caps w:val="false"/>
                <w:smallCaps w:val="false"/>
                <w:sz w:val="20"/>
                <w:u w:val="single"/>
              </w:rPr>
              <w:t>Michael D. Witzeman</w:t>
            </w:r>
          </w:p>
        </w:tc>
      </w:tr>
      <w:tr>
        <w:trPr/>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Michael D. Witzeman</w:t>
            </w:r>
          </w:p>
        </w:tc>
      </w:tr>
      <w:tr>
        <w:trPr/>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Executive Vice President and Chief Financial Officer</w:t>
            </w:r>
          </w:p>
        </w:tc>
      </w:tr>
      <w:tr>
        <w:trPr/>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Page 3 of 3</w:t>
      </w:r>
    </w:p>
    <w:p>
      <w:pPr>
        <w:pStyle w:val="TextBody"/>
        <w:bidi w:val="0"/>
        <w:spacing w:lineRule="auto" w:line="240" w:before="0" w:after="0"/>
        <w:ind w:left="1440" w:right="1440" w:hanging="0"/>
        <w:jc w:val="left"/>
        <w:rPr/>
      </w:pPr>
      <w:bookmarkStart w:id="7" w:name="che-20260728xex99.htm"/>
      <w:bookmarkStart w:id="8" w:name="ksche20260728xex99"/>
      <w:bookmarkEnd w:id="7"/>
      <w:bookmarkEnd w:id="8"/>
      <w:r>
        <w:rPr/>
        <w:drawing>
          <wp:inline distT="0" distB="0" distL="0" distR="0">
            <wp:extent cx="5924550" cy="981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24550" cy="981075"/>
                    </a:xfrm>
                    <a:prstGeom prst="rect">
                      <a:avLst/>
                    </a:prstGeom>
                  </pic:spPr>
                </pic:pic>
              </a:graphicData>
            </a:graphic>
          </wp:inline>
        </w:drawing>
      </w:r>
      <w:r>
        <w:rPr/>
        <w:t xml:space="preserve"> </w:t>
      </w:r>
      <w:r>
        <w:br w:type="page"/>
      </w:r>
    </w:p>
    <w:p>
      <w:pPr>
        <w:pStyle w:val="TextBody"/>
        <w:pBdr/>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CONTACT:  Michael D. Witzeman </w:t>
      </w:r>
    </w:p>
    <w:p>
      <w:pPr>
        <w:pStyle w:val="TextBody"/>
        <w:pBdr/>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(513) 762-6714 </w:t>
      </w:r>
    </w:p>
    <w:p>
      <w:pPr>
        <w:pStyle w:val="TextBody"/>
        <w:bidi w:val="0"/>
        <w:spacing w:lineRule="auto" w:line="240" w:before="0" w:after="0"/>
        <w:ind w:left="1440" w:right="1440" w:hanging="0"/>
        <w:jc w:val="center"/>
        <w:rPr>
          <w:rFonts w:cs="Times New Roman"/>
          <w:szCs w:val="30"/>
        </w:rPr>
      </w:pPr>
      <w:r>
        <w:rPr>
          <w:rFonts w:cs="Times New Roman"/>
          <w:bCs/>
          <w:szCs w:val="30"/>
        </w:rPr>
        <w:t>﻿</w:t>
      </w:r>
      <w:r>
        <w:rPr>
          <w:rFonts w:cs="Times New Roman"/>
          <w:szCs w:val="30"/>
        </w:rPr>
        <w:t xml:space="preserve"> </w:t>
      </w:r>
    </w:p>
    <w:p>
      <w:pPr>
        <w:pStyle w:val="TextBody"/>
        <w:bidi w:val="0"/>
        <w:spacing w:lineRule="auto" w:line="240" w:before="0" w:after="0"/>
        <w:ind w:left="1350" w:right="1440" w:hanging="0"/>
        <w:jc w:val="center"/>
        <w:rPr>
          <w:rFonts w:ascii="Times New Roman" w:hAnsi="Times New Roman"/>
          <w:sz w:val="28"/>
        </w:rPr>
      </w:pPr>
      <w:r>
        <w:rPr>
          <w:rFonts w:ascii="Times New Roman" w:hAnsi="Times New Roman"/>
          <w:b/>
          <w:sz w:val="28"/>
        </w:rPr>
        <w:t>Chemed Reports Second-Quarter 2026 Results</w:t>
      </w:r>
      <w:r>
        <w:rPr>
          <w:rFonts w:ascii="Times New Roman" w:hAnsi="Times New Roman"/>
          <w:sz w:val="28"/>
        </w:rPr>
        <w:t xml:space="preserve"> </w:t>
      </w:r>
    </w:p>
    <w:p>
      <w:pPr>
        <w:pStyle w:val="TextBody"/>
        <w:bidi w:val="0"/>
        <w:spacing w:lineRule="auto" w:line="240" w:before="0" w:after="0"/>
        <w:ind w:left="1440" w:right="1440" w:hanging="0"/>
        <w:jc w:val="left"/>
        <w:rPr>
          <w:rFonts w:cs="Times New Roman"/>
          <w:szCs w:val="24"/>
        </w:rPr>
      </w:pPr>
      <w:r>
        <w:rPr>
          <w:rFonts w:cs="Times New Roman"/>
          <w:szCs w:val="24"/>
        </w:rPr>
        <w:t xml:space="preserve">﻿ </w:t>
      </w:r>
    </w:p>
    <w:p>
      <w:pPr>
        <w:pStyle w:val="TextBody"/>
        <w:bidi w:val="0"/>
        <w:spacing w:lineRule="auto" w:line="240" w:before="0" w:after="0"/>
        <w:ind w:left="1440" w:right="1440" w:hanging="0"/>
        <w:jc w:val="center"/>
        <w:rPr>
          <w:rFonts w:ascii="Times New Roman" w:hAnsi="Times New Roman"/>
          <w:sz w:val="24"/>
        </w:rPr>
      </w:pPr>
      <w:r>
        <w:rPr>
          <w:rFonts w:ascii="Times New Roman" w:hAnsi="Times New Roman"/>
          <w:b/>
          <w:i/>
          <w:sz w:val="24"/>
        </w:rPr>
        <w:t>Full-Year Guidance Increased Due Mainly to VITAS Outperformance</w:t>
      </w:r>
      <w:r>
        <w:rPr>
          <w:rFonts w:ascii="Times New Roman" w:hAnsi="Times New Roman"/>
          <w:sz w:val="24"/>
        </w:rPr>
        <w:t xml:space="preserve"> </w:t>
      </w:r>
    </w:p>
    <w:p>
      <w:pPr>
        <w:pStyle w:val="TextBody"/>
        <w:bidi w:val="0"/>
        <w:spacing w:lineRule="auto" w:line="240" w:before="0" w:after="0"/>
        <w:ind w:left="1440" w:right="1440" w:hanging="0"/>
        <w:jc w:val="left"/>
        <w:rPr>
          <w:rFonts w:cs="Times New Roman"/>
          <w:szCs w:val="24"/>
        </w:rPr>
      </w:pPr>
      <w:r>
        <w:rPr>
          <w:rFonts w:cs="Times New Roman"/>
          <w:szCs w:val="24"/>
        </w:rPr>
        <w:t xml:space="preserve">﻿ </w:t>
      </w:r>
    </w:p>
    <w:p>
      <w:pPr>
        <w:pStyle w:val="TextBody"/>
        <w:bidi w:val="0"/>
        <w:spacing w:lineRule="auto" w:line="240" w:before="0" w:after="0"/>
        <w:ind w:left="1440" w:right="1440" w:hanging="0"/>
        <w:jc w:val="center"/>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CINCINNATI, July 28, 2026—</w:t>
      </w:r>
      <w:r>
        <w:rPr>
          <w:rFonts w:ascii="Times New Roman" w:hAnsi="Times New Roman"/>
          <w:color w:val="0000FF"/>
          <w:sz w:val="24"/>
          <w:u w:val="single"/>
        </w:rPr>
        <w:t>Chemed Corporation</w:t>
      </w:r>
      <w:r>
        <w:rPr>
          <w:rFonts w:ascii="Times New Roman" w:hAnsi="Times New Roman"/>
          <w:sz w:val="24"/>
        </w:rPr>
        <w:t xml:space="preserve"> (Chemed) (NYSE:</w:t>
      </w:r>
      <w:bookmarkStart w:id="9" w:name="_Hlt77477499"/>
      <w:bookmarkEnd w:id="9"/>
      <w:r>
        <w:rPr>
          <w:rFonts w:ascii="Times New Roman" w:hAnsi="Times New Roman"/>
          <w:sz w:val="24"/>
        </w:rPr>
        <w:t xml:space="preserve"> CHE), which operates </w:t>
      </w:r>
      <w:r>
        <w:rPr>
          <w:rFonts w:ascii="Times New Roman" w:hAnsi="Times New Roman"/>
          <w:color w:val="0000FF"/>
          <w:sz w:val="24"/>
          <w:u w:val="single"/>
        </w:rPr>
        <w:t>VITAS Healthcare Corporation</w:t>
      </w:r>
      <w:r>
        <w:rPr>
          <w:rFonts w:ascii="Times New Roman" w:hAnsi="Times New Roman"/>
          <w:sz w:val="24"/>
        </w:rPr>
        <w:t xml:space="preserve"> (VITAS),  the nation’s largest providers of end-of-life care, and </w:t>
      </w:r>
      <w:r>
        <w:rPr>
          <w:rFonts w:ascii="Times New Roman" w:hAnsi="Times New Roman"/>
          <w:color w:val="0000FF"/>
          <w:sz w:val="24"/>
          <w:u w:val="single"/>
        </w:rPr>
        <w:t>Roto-Rooter</w:t>
      </w:r>
      <w:r>
        <w:rPr>
          <w:rFonts w:ascii="Times New Roman" w:hAnsi="Times New Roman"/>
          <w:sz w:val="24"/>
        </w:rPr>
        <w:t xml:space="preserve">, the nation’s largest commercial and residential plumbing and drain cleaning services provider, reported financial results for its second quarter ended June 30, 2026, versus the comparable prior-year period.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center"/>
        <w:rPr>
          <w:rFonts w:ascii="Times New Roman" w:hAnsi="Times New Roman"/>
          <w:sz w:val="24"/>
        </w:rPr>
      </w:pPr>
      <w:r>
        <w:rPr>
          <w:rFonts w:ascii="Times New Roman" w:hAnsi="Times New Roman"/>
          <w:sz w:val="24"/>
          <w:u w:val="single"/>
        </w:rPr>
        <w:t>Results for Quarter Ended June 30, 2026</w:t>
      </w:r>
      <w:r>
        <w:rPr>
          <w:rFonts w:ascii="Times New Roman" w:hAnsi="Times New Roman"/>
          <w:sz w:val="24"/>
        </w:rPr>
        <w:t xml:space="preserve"> </w:t>
      </w:r>
    </w:p>
    <w:p>
      <w:pPr>
        <w:pStyle w:val="TextBody"/>
        <w:bidi w:val="0"/>
        <w:spacing w:lineRule="auto" w:line="240" w:before="0" w:after="0"/>
        <w:ind w:left="1440" w:right="1440" w:hanging="0"/>
        <w:jc w:val="left"/>
        <w:rPr>
          <w:rFonts w:cs="Times New Roman"/>
          <w:szCs w:val="24"/>
        </w:rPr>
      </w:pPr>
      <w:r>
        <w:rPr>
          <w:rFonts w:cs="Times New Roman"/>
          <w:szCs w:val="24"/>
          <w:u w:val="single"/>
        </w:rPr>
        <w:t>﻿</w:t>
      </w:r>
      <w:r>
        <w:rPr>
          <w:rFonts w:cs="Times New Roman"/>
          <w:szCs w:val="24"/>
        </w:rPr>
        <w:t xml:space="preserve"> </w:t>
      </w:r>
    </w:p>
    <w:p>
      <w:pPr>
        <w:pStyle w:val="TextBody"/>
        <w:bidi w:val="0"/>
        <w:spacing w:lineRule="auto" w:line="240" w:before="0" w:after="0"/>
        <w:ind w:left="1440" w:right="1440" w:hanging="0"/>
        <w:jc w:val="left"/>
        <w:rPr>
          <w:rFonts w:ascii="Times New Roman" w:hAnsi="Times New Roman"/>
          <w:sz w:val="24"/>
        </w:rPr>
      </w:pPr>
      <w:r>
        <w:rPr>
          <w:rFonts w:ascii="Times New Roman" w:hAnsi="Times New Roman"/>
          <w:sz w:val="24"/>
        </w:rPr>
        <w:t xml:space="preserve">Consolidated operating results: </w:t>
      </w:r>
    </w:p>
    <w:tbl>
      <w:tblPr>
        <w:tblW w:w="4301" w:type="dxa"/>
        <w:jc w:val="left"/>
        <w:tblInd w:w="1440" w:type="dxa"/>
        <w:tblLayout w:type="fixed"/>
        <w:tblCellMar>
          <w:top w:w="0" w:type="dxa"/>
          <w:left w:w="0" w:type="dxa"/>
          <w:bottom w:w="0" w:type="dxa"/>
          <w:right w:w="0" w:type="dxa"/>
        </w:tblCellMar>
      </w:tblPr>
      <w:tblGrid>
        <w:gridCol w:w="38"/>
        <w:gridCol w:w="185"/>
        <w:gridCol w:w="23"/>
        <w:gridCol w:w="405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tcPr>
          <w:p>
            <w:pPr>
              <w:pStyle w:val="TableContents"/>
              <w:bidi w:val="0"/>
              <w:spacing w:lineRule="auto" w:line="240" w:before="0" w:after="0"/>
              <w:ind w:left="0" w:right="0" w:hanging="0"/>
              <w:jc w:val="both"/>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055" w:type="dxa"/>
            <w:tcBorders/>
          </w:tcPr>
          <w:p>
            <w:pPr>
              <w:pStyle w:val="TableContents"/>
              <w:bidi w:val="0"/>
              <w:spacing w:lineRule="auto" w:line="240" w:before="0" w:after="0"/>
              <w:ind w:left="0" w:right="0" w:hanging="0"/>
              <w:jc w:val="both"/>
              <w:rPr>
                <w:rFonts w:ascii="Times New Roman" w:hAnsi="Times New Roman"/>
                <w:color w:val="000000"/>
                <w:sz w:val="24"/>
              </w:rPr>
            </w:pPr>
            <w:r>
              <w:rPr>
                <w:rFonts w:ascii="Times New Roman" w:hAnsi="Times New Roman"/>
                <w:color w:val="000000"/>
                <w:sz w:val="24"/>
              </w:rPr>
              <w:t>Revenue increased 8.8% to $673.3 million</w:t>
            </w:r>
          </w:p>
        </w:tc>
      </w:tr>
    </w:tbl>
    <w:tbl>
      <w:tblPr>
        <w:tblW w:w="7196" w:type="dxa"/>
        <w:jc w:val="left"/>
        <w:tblInd w:w="1440" w:type="dxa"/>
        <w:tblLayout w:type="fixed"/>
        <w:tblCellMar>
          <w:top w:w="0" w:type="dxa"/>
          <w:left w:w="0" w:type="dxa"/>
          <w:bottom w:w="0" w:type="dxa"/>
          <w:right w:w="0" w:type="dxa"/>
        </w:tblCellMar>
      </w:tblPr>
      <w:tblGrid>
        <w:gridCol w:w="38"/>
        <w:gridCol w:w="185"/>
        <w:gridCol w:w="23"/>
        <w:gridCol w:w="695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tcPr>
          <w:p>
            <w:pPr>
              <w:pStyle w:val="TableContents"/>
              <w:bidi w:val="0"/>
              <w:spacing w:lineRule="auto" w:line="240" w:before="0" w:after="0"/>
              <w:ind w:left="0" w:right="0" w:hanging="0"/>
              <w:jc w:val="both"/>
              <w:rPr>
                <w:rFonts w:ascii="Times New Roman" w:hAnsi="Times New Roman"/>
                <w:color w:val="000000"/>
                <w:sz w:val="24"/>
              </w:rPr>
            </w:pPr>
            <w:r>
              <w:rPr>
                <w:rFonts w:ascii="Symbol" w:hAnsi="Symbol"/>
                <w:color w:val="000000"/>
                <w:sz w:val="24"/>
              </w:rPr>
              <w:t>·</w:t>
            </w:r>
            <w:r>
              <w:rPr>
                <w:rFonts w:ascii="Times New Roman" w:hAnsi="Times New Roman"/>
                <w:color w:val="000000"/>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950" w:type="dxa"/>
            <w:tcBorders/>
          </w:tcPr>
          <w:p>
            <w:pPr>
              <w:pStyle w:val="TableContents"/>
              <w:bidi w:val="0"/>
              <w:spacing w:lineRule="auto" w:line="240" w:before="0" w:after="0"/>
              <w:ind w:left="0" w:right="0" w:hanging="0"/>
              <w:jc w:val="both"/>
              <w:rPr>
                <w:rFonts w:ascii="Times New Roman" w:hAnsi="Times New Roman"/>
                <w:color w:val="000000"/>
                <w:sz w:val="24"/>
              </w:rPr>
            </w:pPr>
            <w:r>
              <w:rPr>
                <w:rFonts w:ascii="Times New Roman" w:hAnsi="Times New Roman"/>
                <w:color w:val="000000"/>
                <w:sz w:val="24"/>
              </w:rPr>
              <w:t>GAAP Diluted Earnings-per-Share (EPS) of $5.13, an increase of 43.7%</w:t>
            </w:r>
          </w:p>
        </w:tc>
      </w:tr>
    </w:tbl>
    <w:tbl>
      <w:tblPr>
        <w:tblW w:w="5336" w:type="dxa"/>
        <w:jc w:val="left"/>
        <w:tblInd w:w="1440" w:type="dxa"/>
        <w:tblLayout w:type="fixed"/>
        <w:tblCellMar>
          <w:top w:w="0" w:type="dxa"/>
          <w:left w:w="0" w:type="dxa"/>
          <w:bottom w:w="0" w:type="dxa"/>
          <w:right w:w="0" w:type="dxa"/>
        </w:tblCellMar>
      </w:tblPr>
      <w:tblGrid>
        <w:gridCol w:w="38"/>
        <w:gridCol w:w="185"/>
        <w:gridCol w:w="23"/>
        <w:gridCol w:w="509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tcPr>
          <w:p>
            <w:pPr>
              <w:pStyle w:val="TableContents"/>
              <w:bidi w:val="0"/>
              <w:spacing w:lineRule="auto" w:line="240" w:before="0" w:after="0"/>
              <w:ind w:left="0" w:right="0" w:hanging="0"/>
              <w:jc w:val="both"/>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090" w:type="dxa"/>
            <w:tcBorders/>
          </w:tcPr>
          <w:p>
            <w:pPr>
              <w:pStyle w:val="TableContents"/>
              <w:bidi w:val="0"/>
              <w:spacing w:lineRule="auto" w:line="240" w:before="0" w:after="0"/>
              <w:ind w:left="0" w:right="0" w:hanging="0"/>
              <w:jc w:val="both"/>
              <w:rPr>
                <w:rFonts w:ascii="Times New Roman" w:hAnsi="Times New Roman"/>
                <w:color w:val="000000"/>
                <w:sz w:val="24"/>
              </w:rPr>
            </w:pPr>
            <w:r>
              <w:rPr>
                <w:rFonts w:ascii="Times New Roman" w:hAnsi="Times New Roman"/>
                <w:color w:val="000000"/>
                <w:sz w:val="24"/>
              </w:rPr>
              <w:t>Adjusted Diluted EPS of $6.06, an increase of 41.9%</w:t>
            </w:r>
          </w:p>
        </w:tc>
      </w:tr>
    </w:tbl>
    <w:p>
      <w:pPr>
        <w:pStyle w:val="TextBody"/>
        <w:bidi w:val="0"/>
        <w:spacing w:lineRule="auto" w:line="240" w:before="0" w:after="0"/>
        <w:ind w:left="1440" w:right="1440" w:hanging="0"/>
        <w:jc w:val="both"/>
        <w:rPr>
          <w:rFonts w:cs="Times New Roman"/>
          <w:szCs w:val="24"/>
        </w:rPr>
      </w:pPr>
      <w:r>
        <w:rPr>
          <w:rFonts w:cs="Times New Roman"/>
          <w:color w:val="000000"/>
          <w:szCs w:val="24"/>
        </w:rPr>
        <w:t>﻿</w:t>
      </w: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color w:val="000000"/>
          <w:sz w:val="24"/>
        </w:rPr>
        <w:t>VITAS segment operating results:</w:t>
      </w:r>
      <w:r>
        <w:rPr>
          <w:rFonts w:ascii="Times New Roman" w:hAnsi="Times New Roman"/>
          <w:sz w:val="24"/>
        </w:rPr>
        <w:t xml:space="preserve"> </w:t>
      </w:r>
    </w:p>
    <w:tbl>
      <w:tblPr>
        <w:tblW w:w="6026" w:type="dxa"/>
        <w:jc w:val="left"/>
        <w:tblInd w:w="1440" w:type="dxa"/>
        <w:tblLayout w:type="fixed"/>
        <w:tblCellMar>
          <w:top w:w="0" w:type="dxa"/>
          <w:left w:w="0" w:type="dxa"/>
          <w:bottom w:w="0" w:type="dxa"/>
          <w:right w:w="0" w:type="dxa"/>
        </w:tblCellMar>
      </w:tblPr>
      <w:tblGrid>
        <w:gridCol w:w="38"/>
        <w:gridCol w:w="185"/>
        <w:gridCol w:w="23"/>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tcPr>
          <w:p>
            <w:pPr>
              <w:pStyle w:val="TableContents"/>
              <w:bidi w:val="0"/>
              <w:spacing w:lineRule="auto" w:line="240" w:before="0" w:after="0"/>
              <w:ind w:left="0" w:right="0" w:hanging="0"/>
              <w:jc w:val="both"/>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780" w:type="dxa"/>
            <w:tcBorders/>
          </w:tcPr>
          <w:p>
            <w:pPr>
              <w:pStyle w:val="TableContents"/>
              <w:bidi w:val="0"/>
              <w:spacing w:lineRule="auto" w:line="240" w:before="0" w:after="0"/>
              <w:ind w:left="0" w:right="0" w:hanging="0"/>
              <w:jc w:val="both"/>
              <w:rPr>
                <w:rFonts w:ascii="Times New Roman" w:hAnsi="Times New Roman"/>
                <w:sz w:val="24"/>
              </w:rPr>
            </w:pPr>
            <w:r>
              <w:rPr>
                <w:rFonts w:ascii="Times New Roman" w:hAnsi="Times New Roman"/>
                <w:color w:val="000000"/>
                <w:sz w:val="24"/>
              </w:rPr>
              <w:t xml:space="preserve">Net Patient Revenue of $443.3 million, </w:t>
            </w:r>
            <w:bookmarkStart w:id="10" w:name="_Hlk69473408"/>
            <w:bookmarkEnd w:id="10"/>
            <w:r>
              <w:rPr>
                <w:rFonts w:ascii="Times New Roman" w:hAnsi="Times New Roman"/>
                <w:color w:val="000000"/>
                <w:sz w:val="24"/>
              </w:rPr>
              <w:t>an increase of 11.9%</w:t>
            </w:r>
          </w:p>
        </w:tc>
      </w:tr>
    </w:tbl>
    <w:tbl>
      <w:tblPr>
        <w:tblW w:w="6116" w:type="dxa"/>
        <w:jc w:val="left"/>
        <w:tblInd w:w="1440" w:type="dxa"/>
        <w:tblLayout w:type="fixed"/>
        <w:tblCellMar>
          <w:top w:w="0" w:type="dxa"/>
          <w:left w:w="0" w:type="dxa"/>
          <w:bottom w:w="0" w:type="dxa"/>
          <w:right w:w="0" w:type="dxa"/>
        </w:tblCellMar>
      </w:tblPr>
      <w:tblGrid>
        <w:gridCol w:w="38"/>
        <w:gridCol w:w="185"/>
        <w:gridCol w:w="23"/>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tcPr>
          <w:p>
            <w:pPr>
              <w:pStyle w:val="TableContents"/>
              <w:bidi w:val="0"/>
              <w:spacing w:lineRule="auto" w:line="240" w:before="0" w:after="0"/>
              <w:ind w:left="0" w:right="0" w:hanging="0"/>
              <w:jc w:val="both"/>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870" w:type="dxa"/>
            <w:tcBorders/>
          </w:tcPr>
          <w:p>
            <w:pPr>
              <w:pStyle w:val="TableContents"/>
              <w:bidi w:val="0"/>
              <w:spacing w:lineRule="auto" w:line="240" w:before="0" w:after="0"/>
              <w:ind w:left="0" w:right="0" w:hanging="0"/>
              <w:jc w:val="both"/>
              <w:rPr>
                <w:rFonts w:ascii="Times New Roman" w:hAnsi="Times New Roman"/>
                <w:color w:val="000000"/>
                <w:sz w:val="24"/>
              </w:rPr>
            </w:pPr>
            <w:r>
              <w:rPr>
                <w:rFonts w:ascii="Times New Roman" w:hAnsi="Times New Roman"/>
                <w:color w:val="000000"/>
                <w:sz w:val="24"/>
              </w:rPr>
              <w:t>Average Daily Census (ADC) of 23,687, an increase of 6.1%</w:t>
            </w:r>
          </w:p>
        </w:tc>
      </w:tr>
    </w:tbl>
    <w:tbl>
      <w:tblPr>
        <w:tblW w:w="4406" w:type="dxa"/>
        <w:jc w:val="left"/>
        <w:tblInd w:w="1440" w:type="dxa"/>
        <w:tblLayout w:type="fixed"/>
        <w:tblCellMar>
          <w:top w:w="0" w:type="dxa"/>
          <w:left w:w="0" w:type="dxa"/>
          <w:bottom w:w="0" w:type="dxa"/>
          <w:right w:w="0" w:type="dxa"/>
        </w:tblCellMar>
      </w:tblPr>
      <w:tblGrid>
        <w:gridCol w:w="38"/>
        <w:gridCol w:w="185"/>
        <w:gridCol w:w="23"/>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tcPr>
          <w:p>
            <w:pPr>
              <w:pStyle w:val="TableContents"/>
              <w:bidi w:val="0"/>
              <w:spacing w:lineRule="auto" w:line="240" w:before="0" w:after="0"/>
              <w:ind w:left="0" w:right="0" w:hanging="0"/>
              <w:jc w:val="both"/>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160" w:type="dxa"/>
            <w:tcBorders/>
          </w:tcPr>
          <w:p>
            <w:pPr>
              <w:pStyle w:val="TableContents"/>
              <w:bidi w:val="0"/>
              <w:spacing w:lineRule="auto" w:line="240" w:before="0" w:after="0"/>
              <w:ind w:left="0" w:right="0" w:hanging="0"/>
              <w:jc w:val="both"/>
              <w:rPr>
                <w:rFonts w:ascii="Times New Roman" w:hAnsi="Times New Roman"/>
                <w:color w:val="000000"/>
                <w:sz w:val="24"/>
              </w:rPr>
            </w:pPr>
            <w:r>
              <w:rPr>
                <w:rFonts w:ascii="Times New Roman" w:hAnsi="Times New Roman"/>
                <w:color w:val="000000"/>
                <w:sz w:val="24"/>
              </w:rPr>
              <w:t xml:space="preserve">Admissions of 19,125, an increase of 9.0% </w:t>
            </w:r>
          </w:p>
        </w:tc>
      </w:tr>
    </w:tbl>
    <w:tbl>
      <w:tblPr>
        <w:tblW w:w="7325" w:type="dxa"/>
        <w:jc w:val="left"/>
        <w:tblInd w:w="1440" w:type="dxa"/>
        <w:tblLayout w:type="fixed"/>
        <w:tblCellMar>
          <w:top w:w="0" w:type="dxa"/>
          <w:left w:w="0" w:type="dxa"/>
          <w:bottom w:w="0" w:type="dxa"/>
          <w:right w:w="0" w:type="dxa"/>
        </w:tblCellMar>
      </w:tblPr>
      <w:tblGrid>
        <w:gridCol w:w="38"/>
        <w:gridCol w:w="177"/>
        <w:gridCol w:w="23"/>
        <w:gridCol w:w="7087"/>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tcPr>
          <w:p>
            <w:pPr>
              <w:pStyle w:val="TableContents"/>
              <w:bidi w:val="0"/>
              <w:spacing w:lineRule="auto" w:line="240" w:before="0" w:after="0"/>
              <w:ind w:left="0" w:right="0" w:hanging="0"/>
              <w:jc w:val="both"/>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7" w:type="dxa"/>
            <w:tcBorders/>
          </w:tcPr>
          <w:p>
            <w:pPr>
              <w:pStyle w:val="TableContents"/>
              <w:bidi w:val="0"/>
              <w:spacing w:lineRule="auto" w:line="240" w:before="0" w:after="0"/>
              <w:ind w:left="0" w:right="0" w:hanging="0"/>
              <w:jc w:val="both"/>
              <w:rPr>
                <w:rFonts w:ascii="Times New Roman" w:hAnsi="Times New Roman"/>
                <w:color w:val="000000"/>
                <w:sz w:val="24"/>
              </w:rPr>
            </w:pPr>
            <w:r>
              <w:rPr>
                <w:rFonts w:ascii="Times New Roman" w:hAnsi="Times New Roman"/>
                <w:color w:val="000000"/>
                <w:sz w:val="24"/>
              </w:rPr>
              <w:t>Net Income, excluding certain discrete items, of $61.3 million, an increase of 60.5%</w:t>
            </w:r>
          </w:p>
        </w:tc>
      </w:tr>
    </w:tbl>
    <w:tbl>
      <w:tblPr>
        <w:tblW w:w="7325" w:type="dxa"/>
        <w:jc w:val="left"/>
        <w:tblInd w:w="1440" w:type="dxa"/>
        <w:tblLayout w:type="fixed"/>
        <w:tblCellMar>
          <w:top w:w="0" w:type="dxa"/>
          <w:left w:w="0" w:type="dxa"/>
          <w:bottom w:w="0" w:type="dxa"/>
          <w:right w:w="0" w:type="dxa"/>
        </w:tblCellMar>
      </w:tblPr>
      <w:tblGrid>
        <w:gridCol w:w="38"/>
        <w:gridCol w:w="176"/>
        <w:gridCol w:w="23"/>
        <w:gridCol w:w="7088"/>
      </w:tblGrid>
      <w:tr>
        <w:trPr/>
        <w:tc>
          <w:tcPr>
            <w:tcW w:w="38" w:type="dxa"/>
            <w:tcBorders/>
            <w:vAlign w:val="center"/>
          </w:tcPr>
          <w:p>
            <w:pPr>
              <w:pStyle w:val="TableContents"/>
              <w:bidi w:val="0"/>
              <w:spacing w:before="0" w:after="283"/>
              <w:jc w:val="left"/>
              <w:rPr>
                <w:sz w:val="4"/>
                <w:szCs w:val="4"/>
              </w:rPr>
            </w:pPr>
            <w:r>
              <w:rPr>
                <w:sz w:val="4"/>
                <w:szCs w:val="4"/>
              </w:rPr>
            </w:r>
          </w:p>
        </w:tc>
        <w:tc>
          <w:tcPr>
            <w:tcW w:w="176" w:type="dxa"/>
            <w:tcBorders/>
          </w:tcPr>
          <w:p>
            <w:pPr>
              <w:pStyle w:val="TableContents"/>
              <w:bidi w:val="0"/>
              <w:spacing w:lineRule="auto" w:line="240" w:before="0" w:after="0"/>
              <w:ind w:left="0" w:right="0" w:hanging="0"/>
              <w:jc w:val="both"/>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8" w:type="dxa"/>
            <w:tcBorders/>
          </w:tcPr>
          <w:p>
            <w:pPr>
              <w:pStyle w:val="TableContents"/>
              <w:bidi w:val="0"/>
              <w:spacing w:lineRule="auto" w:line="240" w:before="0" w:after="0"/>
              <w:ind w:left="0" w:right="0" w:hanging="0"/>
              <w:jc w:val="both"/>
              <w:rPr>
                <w:rFonts w:ascii="Times New Roman" w:hAnsi="Times New Roman"/>
                <w:color w:val="000000"/>
                <w:sz w:val="24"/>
              </w:rPr>
            </w:pPr>
            <w:r>
              <w:rPr>
                <w:rFonts w:ascii="Times New Roman" w:hAnsi="Times New Roman"/>
                <w:color w:val="000000"/>
                <w:sz w:val="24"/>
              </w:rPr>
              <w:t>Adjusted EBITDA, excluding Medicare Cap, of $80.6 million, an increase of 20.6%</w:t>
            </w:r>
          </w:p>
        </w:tc>
      </w:tr>
    </w:tbl>
    <w:tbl>
      <w:tblPr>
        <w:tblW w:w="7325" w:type="dxa"/>
        <w:jc w:val="left"/>
        <w:tblInd w:w="1440" w:type="dxa"/>
        <w:tblLayout w:type="fixed"/>
        <w:tblCellMar>
          <w:top w:w="0" w:type="dxa"/>
          <w:left w:w="0" w:type="dxa"/>
          <w:bottom w:w="0" w:type="dxa"/>
          <w:right w:w="0" w:type="dxa"/>
        </w:tblCellMar>
      </w:tblPr>
      <w:tblGrid>
        <w:gridCol w:w="38"/>
        <w:gridCol w:w="170"/>
        <w:gridCol w:w="23"/>
        <w:gridCol w:w="7094"/>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40" w:before="0" w:after="0"/>
              <w:ind w:left="0" w:right="0" w:hanging="0"/>
              <w:jc w:val="both"/>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94" w:type="dxa"/>
            <w:tcBorders/>
          </w:tcPr>
          <w:p>
            <w:pPr>
              <w:pStyle w:val="TableContents"/>
              <w:bidi w:val="0"/>
              <w:spacing w:lineRule="auto" w:line="240" w:before="0" w:after="0"/>
              <w:ind w:left="0" w:right="0" w:hanging="0"/>
              <w:jc w:val="both"/>
              <w:rPr>
                <w:rFonts w:ascii="Times New Roman" w:hAnsi="Times New Roman"/>
                <w:color w:val="000000"/>
                <w:sz w:val="24"/>
              </w:rPr>
            </w:pPr>
            <w:r>
              <w:rPr>
                <w:rFonts w:ascii="Times New Roman" w:hAnsi="Times New Roman"/>
                <w:color w:val="000000"/>
                <w:sz w:val="24"/>
              </w:rPr>
              <w:t>Adjusted EBITDA margin, excluding Medicare Cap, of 18.2%, an increase of 196-basis points</w:t>
            </w:r>
          </w:p>
        </w:tc>
      </w:tr>
    </w:tbl>
    <w:p>
      <w:pPr>
        <w:pStyle w:val="TextBody"/>
        <w:bidi w:val="0"/>
        <w:spacing w:lineRule="auto" w:line="240" w:before="0" w:after="0"/>
        <w:ind w:left="1800" w:right="1440" w:hanging="0"/>
        <w:jc w:val="both"/>
        <w:rPr>
          <w:rFonts w:cs="Times New Roman"/>
          <w:szCs w:val="24"/>
        </w:rPr>
      </w:pPr>
      <w:r>
        <w:rPr>
          <w:rFonts w:cs="Times New Roman"/>
          <w:color w:val="000000"/>
          <w:szCs w:val="24"/>
        </w:rPr>
        <w:t>﻿</w:t>
      </w: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color w:val="000000"/>
          <w:sz w:val="24"/>
        </w:rPr>
        <w:t>Roto-Rooter segment operating results:</w:t>
      </w:r>
      <w:r>
        <w:rPr>
          <w:rFonts w:ascii="Times New Roman" w:hAnsi="Times New Roman"/>
          <w:sz w:val="24"/>
        </w:rPr>
        <w:t xml:space="preserve"> </w:t>
      </w:r>
    </w:p>
    <w:tbl>
      <w:tblPr>
        <w:tblW w:w="4796" w:type="dxa"/>
        <w:jc w:val="left"/>
        <w:tblInd w:w="1440" w:type="dxa"/>
        <w:tblLayout w:type="fixed"/>
        <w:tblCellMar>
          <w:top w:w="0" w:type="dxa"/>
          <w:left w:w="0" w:type="dxa"/>
          <w:bottom w:w="0" w:type="dxa"/>
          <w:right w:w="0" w:type="dxa"/>
        </w:tblCellMar>
      </w:tblPr>
      <w:tblGrid>
        <w:gridCol w:w="38"/>
        <w:gridCol w:w="185"/>
        <w:gridCol w:w="23"/>
        <w:gridCol w:w="455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tcPr>
          <w:p>
            <w:pPr>
              <w:pStyle w:val="TableContents"/>
              <w:bidi w:val="0"/>
              <w:spacing w:lineRule="auto" w:line="240" w:before="0" w:after="0"/>
              <w:ind w:left="0" w:right="0" w:hanging="0"/>
              <w:jc w:val="both"/>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550" w:type="dxa"/>
            <w:tcBorders/>
          </w:tcPr>
          <w:p>
            <w:pPr>
              <w:pStyle w:val="TableContents"/>
              <w:bidi w:val="0"/>
              <w:spacing w:lineRule="auto" w:line="240" w:before="0" w:after="0"/>
              <w:ind w:left="0" w:right="0" w:hanging="0"/>
              <w:jc w:val="both"/>
              <w:rPr>
                <w:rFonts w:ascii="Times New Roman" w:hAnsi="Times New Roman"/>
                <w:color w:val="000000"/>
                <w:sz w:val="24"/>
              </w:rPr>
            </w:pPr>
            <w:r>
              <w:rPr>
                <w:rFonts w:ascii="Times New Roman" w:hAnsi="Times New Roman"/>
                <w:color w:val="000000"/>
                <w:sz w:val="24"/>
              </w:rPr>
              <w:t>Revenue of $229.9 million, an increase of 3.3%</w:t>
            </w:r>
          </w:p>
        </w:tc>
      </w:tr>
    </w:tbl>
    <w:tbl>
      <w:tblPr>
        <w:tblW w:w="7325" w:type="dxa"/>
        <w:jc w:val="left"/>
        <w:tblInd w:w="1440" w:type="dxa"/>
        <w:tblLayout w:type="fixed"/>
        <w:tblCellMar>
          <w:top w:w="0" w:type="dxa"/>
          <w:left w:w="0" w:type="dxa"/>
          <w:bottom w:w="0" w:type="dxa"/>
          <w:right w:w="0" w:type="dxa"/>
        </w:tblCellMar>
      </w:tblPr>
      <w:tblGrid>
        <w:gridCol w:w="38"/>
        <w:gridCol w:w="182"/>
        <w:gridCol w:w="23"/>
        <w:gridCol w:w="7082"/>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tcPr>
          <w:p>
            <w:pPr>
              <w:pStyle w:val="TableContents"/>
              <w:bidi w:val="0"/>
              <w:spacing w:lineRule="auto" w:line="240" w:before="0" w:after="0"/>
              <w:ind w:left="0" w:right="0" w:hanging="0"/>
              <w:jc w:val="both"/>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2" w:type="dxa"/>
            <w:tcBorders/>
          </w:tcPr>
          <w:p>
            <w:pPr>
              <w:pStyle w:val="TableContents"/>
              <w:bidi w:val="0"/>
              <w:spacing w:lineRule="auto" w:line="240" w:before="0" w:after="0"/>
              <w:ind w:left="0" w:right="0" w:hanging="0"/>
              <w:jc w:val="both"/>
              <w:rPr>
                <w:rFonts w:ascii="Times New Roman" w:hAnsi="Times New Roman"/>
                <w:color w:val="000000"/>
                <w:sz w:val="24"/>
              </w:rPr>
            </w:pPr>
            <w:r>
              <w:rPr>
                <w:rFonts w:ascii="Times New Roman" w:hAnsi="Times New Roman"/>
                <w:color w:val="000000"/>
                <w:sz w:val="24"/>
              </w:rPr>
              <w:t>Net Income, excluding certain discrete items, of $33.8 million, essentially flat</w:t>
            </w:r>
          </w:p>
        </w:tc>
      </w:tr>
    </w:tbl>
    <w:tbl>
      <w:tblPr>
        <w:tblW w:w="5126" w:type="dxa"/>
        <w:jc w:val="left"/>
        <w:tblInd w:w="1440" w:type="dxa"/>
        <w:tblLayout w:type="fixed"/>
        <w:tblCellMar>
          <w:top w:w="0" w:type="dxa"/>
          <w:left w:w="0" w:type="dxa"/>
          <w:bottom w:w="0" w:type="dxa"/>
          <w:right w:w="0" w:type="dxa"/>
        </w:tblCellMar>
      </w:tblPr>
      <w:tblGrid>
        <w:gridCol w:w="38"/>
        <w:gridCol w:w="185"/>
        <w:gridCol w:w="23"/>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tcPr>
          <w:p>
            <w:pPr>
              <w:pStyle w:val="TableContents"/>
              <w:bidi w:val="0"/>
              <w:spacing w:lineRule="auto" w:line="240" w:before="0" w:after="0"/>
              <w:ind w:left="0" w:right="0" w:hanging="0"/>
              <w:jc w:val="both"/>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880" w:type="dxa"/>
            <w:tcBorders/>
          </w:tcPr>
          <w:p>
            <w:pPr>
              <w:pStyle w:val="TableContents"/>
              <w:bidi w:val="0"/>
              <w:spacing w:lineRule="auto" w:line="240" w:before="0" w:after="0"/>
              <w:ind w:left="0" w:right="0" w:hanging="0"/>
              <w:jc w:val="both"/>
              <w:rPr>
                <w:rFonts w:ascii="Times New Roman" w:hAnsi="Times New Roman"/>
                <w:sz w:val="24"/>
              </w:rPr>
            </w:pPr>
            <w:r>
              <w:rPr>
                <w:rFonts w:ascii="Times New Roman" w:hAnsi="Times New Roman"/>
                <w:color w:val="000000"/>
                <w:sz w:val="24"/>
              </w:rPr>
              <w:t>Adjusted EBITDA of $</w:t>
            </w:r>
            <w:bookmarkStart w:id="11" w:name="_Hlk38445758"/>
            <w:bookmarkEnd w:id="11"/>
            <w:r>
              <w:rPr>
                <w:rFonts w:ascii="Times New Roman" w:hAnsi="Times New Roman"/>
                <w:color w:val="000000"/>
                <w:sz w:val="24"/>
              </w:rPr>
              <w:t>48.5 million, essentially flat</w:t>
            </w:r>
          </w:p>
        </w:tc>
      </w:tr>
    </w:tbl>
    <w:tbl>
      <w:tblPr>
        <w:tblW w:w="6431" w:type="dxa"/>
        <w:jc w:val="left"/>
        <w:tblInd w:w="1440" w:type="dxa"/>
        <w:tblLayout w:type="fixed"/>
        <w:tblCellMar>
          <w:top w:w="0" w:type="dxa"/>
          <w:left w:w="0" w:type="dxa"/>
          <w:bottom w:w="0" w:type="dxa"/>
          <w:right w:w="0" w:type="dxa"/>
        </w:tblCellMar>
      </w:tblPr>
      <w:tblGrid>
        <w:gridCol w:w="38"/>
        <w:gridCol w:w="185"/>
        <w:gridCol w:w="23"/>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tcPr>
          <w:p>
            <w:pPr>
              <w:pStyle w:val="TableContents"/>
              <w:bidi w:val="0"/>
              <w:spacing w:lineRule="auto" w:line="240" w:before="0" w:after="0"/>
              <w:ind w:left="0" w:right="0" w:hanging="0"/>
              <w:jc w:val="both"/>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185" w:type="dxa"/>
            <w:tcBorders/>
          </w:tcPr>
          <w:p>
            <w:pPr>
              <w:pStyle w:val="TableContents"/>
              <w:bidi w:val="0"/>
              <w:spacing w:lineRule="auto" w:line="240" w:before="0" w:after="0"/>
              <w:ind w:left="0" w:right="0" w:hanging="0"/>
              <w:jc w:val="both"/>
              <w:rPr>
                <w:rFonts w:ascii="Times New Roman" w:hAnsi="Times New Roman"/>
                <w:color w:val="000000"/>
                <w:sz w:val="24"/>
              </w:rPr>
            </w:pPr>
            <w:bookmarkStart w:id="12" w:name="_Hlk38445851"/>
            <w:bookmarkEnd w:id="12"/>
            <w:r>
              <w:rPr>
                <w:rFonts w:ascii="Times New Roman" w:hAnsi="Times New Roman"/>
                <w:color w:val="000000"/>
                <w:sz w:val="24"/>
              </w:rPr>
              <w:t>Adjusted EBITDA margin of 21.1%, a decline of 77-basis points</w:t>
            </w:r>
          </w:p>
        </w:tc>
      </w:tr>
    </w:tbl>
    <w:p>
      <w:pPr>
        <w:pStyle w:val="TextBody"/>
        <w:bidi w:val="0"/>
        <w:spacing w:lineRule="auto" w:line="240" w:before="0" w:after="0"/>
        <w:ind w:left="1440" w:right="1440" w:hanging="0"/>
        <w:jc w:val="both"/>
        <w:rPr>
          <w:rFonts w:cs="Times New Roman"/>
          <w:szCs w:val="24"/>
        </w:rPr>
      </w:pPr>
      <w:r>
        <w:rPr>
          <w:rFonts w:cs="Times New Roman"/>
          <w:color w:val="000000"/>
          <w:szCs w:val="24"/>
        </w:rPr>
        <w:t>﻿</w:t>
      </w:r>
      <w:r>
        <w:rPr>
          <w:rFonts w:cs="Times New Roman"/>
          <w:szCs w:val="24"/>
        </w:rPr>
        <w:t xml:space="preserve"> </w:t>
      </w:r>
    </w:p>
    <w:p>
      <w:pPr>
        <w:pStyle w:val="TextBody"/>
        <w:bidi w:val="0"/>
        <w:spacing w:lineRule="auto" w:line="240" w:before="0" w:after="0"/>
        <w:ind w:left="1440" w:right="1440" w:hanging="0"/>
        <w:jc w:val="both"/>
        <w:rPr>
          <w:rFonts w:cs="Times New Roman"/>
          <w:szCs w:val="24"/>
        </w:rPr>
      </w:pPr>
      <w:r>
        <w:rPr>
          <w:rFonts w:cs="Times New Roman"/>
          <w:color w:val="000000"/>
          <w:szCs w:val="24"/>
        </w:rPr>
        <w:t>﻿</w:t>
      </w:r>
      <w:r>
        <w:rPr>
          <w:rFonts w:cs="Times New Roman"/>
          <w:szCs w:val="24"/>
        </w:rPr>
        <w:t xml:space="preserve"> </w:t>
      </w:r>
    </w:p>
    <w:p>
      <w:pPr>
        <w:pStyle w:val="TextBody"/>
        <w:bidi w:val="0"/>
        <w:spacing w:lineRule="auto" w:line="240" w:before="0" w:after="0"/>
        <w:ind w:left="1440" w:right="1440" w:hanging="0"/>
        <w:jc w:val="both"/>
        <w:rPr>
          <w:rFonts w:cs="Times New Roman"/>
          <w:szCs w:val="24"/>
        </w:rPr>
      </w:pPr>
      <w:r>
        <w:rPr>
          <w:rFonts w:cs="Times New Roman"/>
          <w:color w:val="000000"/>
          <w:szCs w:val="24"/>
        </w:rPr>
        <w:t>﻿</w:t>
      </w:r>
      <w:r>
        <w:rPr>
          <w:rFonts w:cs="Times New Roman"/>
          <w:szCs w:val="24"/>
        </w:rPr>
        <w:t xml:space="preserve"> </w:t>
      </w:r>
    </w:p>
    <w:p>
      <w:pPr>
        <w:pStyle w:val="TextBody"/>
        <w:bidi w:val="0"/>
        <w:spacing w:lineRule="auto" w:line="240" w:before="0" w:after="0"/>
        <w:ind w:left="1440" w:right="1440" w:hanging="0"/>
        <w:jc w:val="both"/>
        <w:rPr>
          <w:rFonts w:cs="Times New Roman"/>
          <w:szCs w:val="24"/>
        </w:rPr>
      </w:pPr>
      <w:r>
        <w:rPr>
          <w:rFonts w:cs="Times New Roman"/>
          <w:color w:val="000000"/>
          <w:szCs w:val="24"/>
        </w:rPr>
        <w:t>﻿</w:t>
      </w:r>
      <w:r>
        <w:rPr>
          <w:rFonts w:cs="Times New Roman"/>
          <w:szCs w:val="24"/>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lineRule="auto" w:line="240" w:before="0" w:after="0"/>
        <w:ind w:left="1440" w:right="1440" w:hanging="0"/>
        <w:jc w:val="center"/>
        <w:rPr>
          <w:rFonts w:cs="Times New Roman"/>
          <w:szCs w:val="24"/>
        </w:rPr>
      </w:pPr>
      <w:r>
        <w:rPr>
          <w:rFonts w:cs="Times New Roman"/>
          <w:szCs w:val="24"/>
          <w:u w:val="single"/>
        </w:rPr>
        <w:t>﻿</w:t>
      </w:r>
      <w:r>
        <w:rPr>
          <w:rFonts w:cs="Times New Roman"/>
          <w:szCs w:val="24"/>
        </w:rPr>
        <w:t xml:space="preserve"> </w:t>
      </w:r>
    </w:p>
    <w:p>
      <w:pPr>
        <w:pStyle w:val="TextBody"/>
        <w:bidi w:val="0"/>
        <w:spacing w:lineRule="auto" w:line="240" w:before="0" w:after="0"/>
        <w:ind w:left="1440" w:right="1440" w:hanging="0"/>
        <w:jc w:val="center"/>
        <w:rPr>
          <w:rFonts w:ascii="Times New Roman" w:hAnsi="Times New Roman"/>
          <w:sz w:val="24"/>
        </w:rPr>
      </w:pPr>
      <w:r>
        <w:rPr>
          <w:rFonts w:ascii="Times New Roman" w:hAnsi="Times New Roman"/>
          <w:sz w:val="24"/>
          <w:u w:val="single"/>
        </w:rPr>
        <w:t>VITAS</w:t>
      </w:r>
      <w:r>
        <w:rPr>
          <w:rFonts w:ascii="Times New Roman" w:hAnsi="Times New Roman"/>
          <w:sz w:val="24"/>
        </w:rPr>
        <w:t xml:space="preserve">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VITAS net revenue was $443.3 million in the second quarter of 2026, which is an increase of 11.9% when compared to the prior-year period. This revenue increase is comprised primarily of a 6.1% increase in days-of-care and a geographically weighted average Medicare reimbursement rate increase of approximately 2.4%. Acuity mix shift negatively impacted revenue growth 115-basis points in the quarter when compared to the prior-year period’s revenue and level-of-care mix.  The combination of Medicare Cap and other contra revenue changes positively impacted revenue growth by 455-basis points. </w:t>
      </w:r>
    </w:p>
    <w:p>
      <w:pPr>
        <w:pStyle w:val="TextBody"/>
        <w:bidi w:val="0"/>
        <w:spacing w:lineRule="auto" w:line="240" w:before="0" w:after="0"/>
        <w:ind w:left="1440" w:right="1440" w:hanging="0"/>
        <w:jc w:val="both"/>
        <w:rPr/>
      </w:pPr>
      <w:r>
        <w:rPr/>
        <w:t> </w:t>
      </w:r>
      <w:bookmarkStart w:id="13" w:name="_Hlk77848525"/>
      <w:bookmarkEnd w:id="13"/>
      <w:r>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Total VITAS admissions increased 9.0% in the second quarter of 2026 compared to the second quarter of 2025.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In the second quarter of 2026, VITAS accrued $500,000 in Medicare Cap billing limitation.  This compares to the Medicare Cap billing limitation recorded in the second quarter of 2025 of $16.4 million.  No Medicare Cap billing limitation was recorded in the second quarter of 2026 for the Florida combined program, and none is anticipated for the 2026 fiscal period.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bookmarkStart w:id="14" w:name="_Hlk506209193"/>
      <w:bookmarkEnd w:id="14"/>
      <w:r>
        <w:rPr>
          <w:rFonts w:ascii="Times New Roman" w:hAnsi="Times New Roman"/>
          <w:sz w:val="24"/>
        </w:rPr>
        <w:t xml:space="preserve">Of VITAS’ 33 Medicare provider numbers, 22 provider numbers have an anticipated full-year Medicare Cap cushion of 10% or greater, seven provider numbers have a cushion between 0% and 10%, and four provider numbers have a Medicare Cap billing limitation totaling $7.0 million.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Average revenue per patient per day in the second quarter of 2026 was $209.98 which is 143-basis points above the prior-year period. Reimbursement for routine home care and high-acuity care averaged $188.62 and $1,152.14, respectively. During the quarter, high-acuity days-of-care were 2.2% of total days of care, a decline of 24-basis points when compared to the prior-year quarter.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The second quarter 2026 gross margin, excluding Medicare Cap, was 23.9%, a 164-basis point increase from the same period of 2025. Selling, general and administrative expenses were $26.1 million in the second quarter of 2026 compared to $25.1 million in the prior- year quarter.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Adjusted EBITDA, excluding Medicare Cap, totaled $80.6 million in the quarter, an increase of 20.6% when compared to the prior-year period. Adjusted EBITDA margin in the quarter, excluding Medicare Cap, was 18.2%. </w:t>
      </w:r>
    </w:p>
    <w:p>
      <w:pPr>
        <w:pStyle w:val="TextBody"/>
        <w:bidi w:val="0"/>
        <w:spacing w:lineRule="auto" w:line="240" w:before="0" w:after="0"/>
        <w:ind w:left="1440" w:right="1440" w:hanging="0"/>
        <w:jc w:val="left"/>
        <w:rPr>
          <w:rFonts w:cs="Times New Roman"/>
          <w:szCs w:val="24"/>
        </w:rPr>
      </w:pPr>
      <w:r>
        <w:rPr>
          <w:rFonts w:cs="Times New Roman"/>
          <w:szCs w:val="24"/>
        </w:rPr>
        <w:t xml:space="preserve">﻿ </w:t>
      </w:r>
    </w:p>
    <w:p>
      <w:pPr>
        <w:pStyle w:val="TextBody"/>
        <w:bidi w:val="0"/>
        <w:spacing w:lineRule="auto" w:line="240" w:before="0" w:after="0"/>
        <w:ind w:left="1440" w:right="1440" w:hanging="0"/>
        <w:jc w:val="center"/>
        <w:rPr>
          <w:rFonts w:ascii="Times New Roman" w:hAnsi="Times New Roman"/>
          <w:sz w:val="24"/>
        </w:rPr>
      </w:pPr>
      <w:r>
        <w:rPr>
          <w:rFonts w:ascii="Times New Roman" w:hAnsi="Times New Roman"/>
          <w:sz w:val="24"/>
          <w:u w:val="single"/>
        </w:rPr>
        <w:t>Roto-Rooter</w:t>
      </w:r>
      <w:r>
        <w:rPr>
          <w:rFonts w:ascii="Times New Roman" w:hAnsi="Times New Roman"/>
          <w:sz w:val="24"/>
        </w:rPr>
        <w:t xml:space="preserve">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Roto-Rooter generated quarterly revenue of $229.9 million in the second quarter of 2026, an increase of 3.3%, when compared to the prior-year quarter.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Roto-Rooter branch commercial revenue in the quarter totaled $56.8 million, an increase of 6.8% from the prior-year period. This aggregate commercial revenue change consisted of plumbing increasing 11.9%, drain cleaning increasing 6.9%, water restoration increasing 3.7% and excavation increasing 2.3%.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Roto-Rooter branch residential revenue in the quarter totaled $159.1 million, an increase of 1.7%, over the prior-year period. This aggregate residential revenue change consisted of excavation increasing 11.1%, plumbing increasing 3.3%, and drain cleaning increasing 1.3%, offset by a decline in water restoration of 6.7%.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In the second quarter of 2026, revenue from independent contractors was $17.1 million which is a decline of 1.9% as compared to the same period of 2025.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Roto-Rooter’s second quarter 2026 gross margin was 50.4%. This compares to the prior-year quarter’s gross margin of 49.0%. Roto-Rooter’s selling, general and administrative expenses were $67.4 million in the quarter, which is an increase of 11.3% compared to the second quarter of 2025.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Adjusted EBITDA in the second quarter of 2026 totaled $48.5 million, essentially flat when compared to the second quarter of 2025. The Adjusted EBITDA margin in the quarter was 21.1% which represents a 77-basis point decline from the second quarter of 2025. </w:t>
      </w:r>
    </w:p>
    <w:p>
      <w:pPr>
        <w:pStyle w:val="TextBody"/>
        <w:bidi w:val="0"/>
        <w:spacing w:lineRule="auto" w:line="240" w:before="0" w:after="0"/>
        <w:ind w:left="1440" w:right="1440" w:hanging="0"/>
        <w:jc w:val="center"/>
        <w:rPr>
          <w:rFonts w:cs="Times New Roman"/>
          <w:szCs w:val="24"/>
        </w:rPr>
      </w:pPr>
      <w:r>
        <w:rPr>
          <w:rFonts w:cs="Times New Roman"/>
          <w:szCs w:val="24"/>
          <w:u w:val="single"/>
        </w:rPr>
        <w:t>﻿</w:t>
      </w:r>
      <w:r>
        <w:rPr>
          <w:rFonts w:cs="Times New Roman"/>
          <w:szCs w:val="24"/>
        </w:rPr>
        <w:t xml:space="preserve"> </w:t>
      </w:r>
    </w:p>
    <w:p>
      <w:pPr>
        <w:pStyle w:val="TextBody"/>
        <w:bidi w:val="0"/>
        <w:spacing w:lineRule="auto" w:line="240" w:before="0" w:after="0"/>
        <w:ind w:left="1440" w:right="1440" w:hanging="0"/>
        <w:jc w:val="center"/>
        <w:rPr>
          <w:rFonts w:ascii="Times New Roman" w:hAnsi="Times New Roman"/>
          <w:sz w:val="24"/>
        </w:rPr>
      </w:pPr>
      <w:r>
        <w:rPr>
          <w:rFonts w:ascii="Times New Roman" w:hAnsi="Times New Roman"/>
          <w:sz w:val="24"/>
          <w:u w:val="single"/>
        </w:rPr>
        <w:t>Chemed Consolidated</w:t>
      </w:r>
      <w:r>
        <w:rPr>
          <w:rFonts w:ascii="Times New Roman" w:hAnsi="Times New Roman"/>
          <w:sz w:val="24"/>
        </w:rPr>
        <w:t xml:space="preserve">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As of June 30, 2026, Chemed had total cash and cash equivalents of $40.2 million and $140.0 million in long-term debt.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In April 2026, Chemed entered into a new five-year $450 million Amended and Restated Credit Agreement (Credit Agreement). This </w:t>
      </w:r>
      <w:bookmarkStart w:id="15" w:name="_Hlk109126040"/>
      <w:bookmarkEnd w:id="15"/>
      <w:r>
        <w:rPr>
          <w:rFonts w:ascii="Times New Roman" w:hAnsi="Times New Roman"/>
          <w:sz w:val="24"/>
        </w:rPr>
        <w:t xml:space="preserve">Credit Agreement consists of a $450 million revolving line of credit and a $250 million expansion feature.  The interest rate on this Credit Agreement has a floating rate that is currently SOFR plus 100-basis points. There is approximately $262.7 million undrawn borrowing capacity under the Credit Agreement after excluding $47.3 million for Letters of Credit.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During the quarter, the Company repurchased 210,000 shares of Chemed stock for $89.8 million which equates to a cost per share of $427.81. Over the trailing 12-months, the Company has repurchased 1,517,500 shares of Chemed stock at an average price of $423.63 per share.  This equates to a reduction in outstanding Chemed shares of approximately 10.5% over that period.  As of June 30, 2026, there was approximately $139.8 million of remaining share repurchase authorization under its plan. </w:t>
      </w:r>
    </w:p>
    <w:p>
      <w:pPr>
        <w:pStyle w:val="TextBody"/>
        <w:bidi w:val="0"/>
        <w:spacing w:lineRule="auto" w:line="240" w:before="0" w:after="0"/>
        <w:ind w:left="1440" w:right="1440" w:hanging="0"/>
        <w:jc w:val="left"/>
        <w:rPr>
          <w:rFonts w:cs="Times New Roman"/>
          <w:szCs w:val="24"/>
        </w:rPr>
      </w:pPr>
      <w:r>
        <w:rPr>
          <w:rFonts w:cs="Times New Roman"/>
          <w:szCs w:val="24"/>
        </w:rPr>
        <w:t xml:space="preserve">﻿ </w:t>
      </w:r>
    </w:p>
    <w:p>
      <w:pPr>
        <w:pStyle w:val="TextBody"/>
        <w:bidi w:val="0"/>
        <w:spacing w:lineRule="auto" w:line="240" w:before="0" w:after="0"/>
        <w:ind w:left="1440" w:right="1440" w:hanging="0"/>
        <w:jc w:val="center"/>
        <w:rPr>
          <w:rFonts w:ascii="Times New Roman" w:hAnsi="Times New Roman"/>
          <w:sz w:val="24"/>
        </w:rPr>
      </w:pPr>
      <w:r>
        <w:rPr>
          <w:rFonts w:ascii="Times New Roman" w:hAnsi="Times New Roman"/>
          <w:sz w:val="24"/>
          <w:u w:val="single"/>
        </w:rPr>
        <w:t>Guidance Update</w:t>
      </w:r>
      <w:r>
        <w:rPr>
          <w:rFonts w:ascii="Times New Roman" w:hAnsi="Times New Roman"/>
          <w:sz w:val="24"/>
        </w:rPr>
        <w:t xml:space="preserve"> </w:t>
      </w:r>
    </w:p>
    <w:p>
      <w:pPr>
        <w:pStyle w:val="TextBody"/>
        <w:bidi w:val="0"/>
        <w:spacing w:lineRule="auto" w:line="240" w:before="0" w:after="0"/>
        <w:ind w:left="1440" w:right="1440" w:hanging="0"/>
        <w:jc w:val="left"/>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Although, historically, we do not give quarterly updates, our guidance was revised in conjunction with the first quarter 2026 earnings release due to the materially improved performance of VITAS, coupled with the level of share repurchases. We have updated the guidance again mainly to continue our normal, historical cadence of updating expectations at the mid-year earnings release.  Barring any unusual developments, updating guidance once per year in conjunction with our second quarter press release is our on-going expectation.  Further operational detail will be provided during the investor conference call.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VITAS’ initiatives to return to a normal growth pattern after managing the 2025 Medicare Cap issue progressed more quickly than originally anticipated and continue to provide higher than expected growth in the business. The following shows the updated key guidance metrics compared to the guidance metrics provided in the first quarter 2026 earnings release: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center"/>
        <w:rPr/>
      </w:pPr>
      <w:r>
        <w:rPr/>
        <w:drawing>
          <wp:inline distT="0" distB="0" distL="0" distR="0">
            <wp:extent cx="4217035" cy="149161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217035" cy="1491615"/>
                    </a:xfrm>
                    <a:prstGeom prst="rect">
                      <a:avLst/>
                    </a:prstGeom>
                  </pic:spPr>
                </pic:pic>
              </a:graphicData>
            </a:graphic>
          </wp:inline>
        </w:drawing>
      </w:r>
      <w:r>
        <w:rPr/>
        <w:t xml:space="preserve">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Roto-Rooter performed in-line with our expectations and therefore, full year guidance for the segment remains unchanged.  Full year anticipated revenue growth is 3.0% to 3.5%.  Estimated adjusted EBITDA margin is 21.5% to 22.5%.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Based on the above, full-year 2026 earnings per diluted share, excluding non-cash expenses for stock options, tax benefits from stock option exercises, costs related to litigation and other discrete items, are estimated to be in the range of $25.00 to $25.75.  This compares to the guidance given in conjunction with the first quarter of 2026 press release of $24.00 to $24.75 per diluted share.  The mid-point of the revised guidance represents a 17.8% increase from 2025 adjusted earnings per diluted share of $21.55.  The revised guidance assumes an effective corporate tax rate on adjusted earnings of 24.5% and a diluted share count of 13.5 million shares.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center"/>
        <w:rPr>
          <w:rFonts w:ascii="Times New Roman" w:hAnsi="Times New Roman"/>
          <w:sz w:val="24"/>
        </w:rPr>
      </w:pPr>
      <w:r>
        <w:rPr>
          <w:rFonts w:ascii="Times New Roman" w:hAnsi="Times New Roman"/>
          <w:sz w:val="24"/>
          <w:u w:val="single"/>
        </w:rPr>
        <w:t>Conference Call</w:t>
      </w:r>
      <w:r>
        <w:rPr>
          <w:rFonts w:ascii="Times New Roman" w:hAnsi="Times New Roman"/>
          <w:sz w:val="24"/>
        </w:rPr>
        <w:t xml:space="preserve">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52" w:before="0" w:after="0"/>
        <w:ind w:left="1440" w:right="1440" w:hanging="0"/>
        <w:jc w:val="both"/>
        <w:rPr>
          <w:rFonts w:ascii="Times New Roman" w:hAnsi="Times New Roman"/>
          <w:sz w:val="24"/>
        </w:rPr>
      </w:pPr>
      <w:r>
        <w:rPr>
          <w:rFonts w:ascii="Times New Roman" w:hAnsi="Times New Roman"/>
          <w:color w:val="000000"/>
          <w:sz w:val="24"/>
        </w:rPr>
        <w:t xml:space="preserve">As previously disclosed, Chemed will host a conference call and webcast at 10 a.m., ET, on Wednesday July 29, 2026, to discuss the company's quarterly results and to provide an update on its business. Participants may access a live webcast of the conference call through the investor relations section of Chemed’s website, </w:t>
      </w:r>
      <w:r>
        <w:rPr>
          <w:rFonts w:ascii="Times New Roman" w:hAnsi="Times New Roman"/>
          <w:color w:val="0000FF"/>
          <w:sz w:val="24"/>
          <w:u w:val="single"/>
        </w:rPr>
        <w:t>Investor Relations Home | Chemed Corporation</w:t>
      </w:r>
      <w:r>
        <w:rPr>
          <w:rFonts w:ascii="Times New Roman" w:hAnsi="Times New Roman"/>
          <w:sz w:val="24"/>
        </w:rPr>
        <w:t xml:space="preserve"> or the hosting website </w:t>
      </w:r>
      <w:r>
        <w:rPr>
          <w:rFonts w:ascii="Times New Roman" w:hAnsi="Times New Roman"/>
          <w:color w:val="0000FF"/>
          <w:sz w:val="24"/>
          <w:u w:val="single"/>
        </w:rPr>
        <w:t>https://edge.media-server.com/mmc/p/u8u2qjst</w:t>
      </w:r>
      <w:r>
        <w:rPr>
          <w:rFonts w:ascii="Times New Roman" w:hAnsi="Times New Roman"/>
          <w:b/>
          <w:color w:val="212121"/>
          <w:sz w:val="24"/>
        </w:rPr>
        <w:t>.</w:t>
      </w:r>
      <w:r>
        <w:rPr>
          <w:rFonts w:ascii="Times New Roman" w:hAnsi="Times New Roman"/>
          <w:sz w:val="24"/>
        </w:rPr>
        <w:t xml:space="preserve"> </w:t>
      </w:r>
    </w:p>
    <w:p>
      <w:pPr>
        <w:pStyle w:val="TextBody"/>
        <w:bidi w:val="0"/>
        <w:spacing w:lineRule="auto" w:line="240" w:before="0" w:after="0"/>
        <w:ind w:left="1620" w:right="1620" w:hanging="0"/>
        <w:jc w:val="both"/>
        <w:rPr>
          <w:rFonts w:cs="Times New Roman"/>
          <w:szCs w:val="24"/>
        </w:rPr>
      </w:pPr>
      <w:r>
        <w:rPr>
          <w:rFonts w:cs="Times New Roman"/>
          <w:szCs w:val="24"/>
          <w:shd w:fill="FFFF00" w:val="clear"/>
        </w:rPr>
        <w:t>﻿</w:t>
      </w:r>
      <w:r>
        <w:rPr>
          <w:rFonts w:cs="Times New Roman"/>
          <w:szCs w:val="24"/>
        </w:rPr>
        <w:t xml:space="preserve"> </w:t>
      </w:r>
    </w:p>
    <w:p>
      <w:pPr>
        <w:pStyle w:val="TextBody"/>
        <w:bidi w:val="0"/>
        <w:spacing w:lineRule="auto" w:line="252" w:before="0" w:after="0"/>
        <w:ind w:left="1440" w:right="1440" w:hanging="0"/>
        <w:jc w:val="both"/>
        <w:rPr>
          <w:rFonts w:ascii="Times New Roman" w:hAnsi="Times New Roman"/>
          <w:sz w:val="24"/>
        </w:rPr>
      </w:pPr>
      <w:r>
        <w:rPr>
          <w:rFonts w:ascii="Times New Roman" w:hAnsi="Times New Roman"/>
          <w:sz w:val="24"/>
        </w:rPr>
        <w:t xml:space="preserve">Participants may also register via teleconference at: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color w:val="0000FF"/>
          <w:sz w:val="24"/>
          <w:u w:val="single"/>
        </w:rPr>
        <w:t>https://register-conf.media-server.com/register/BI55b09312fbd04f76b526dfcc5f7e174e</w:t>
      </w:r>
      <w:r>
        <w:rPr>
          <w:rFonts w:ascii="Times New Roman" w:hAnsi="Times New Roman"/>
          <w:sz w:val="24"/>
        </w:rPr>
        <w:t xml:space="preserve">. </w:t>
      </w:r>
    </w:p>
    <w:p>
      <w:pPr>
        <w:pStyle w:val="TextBody"/>
        <w:bidi w:val="0"/>
        <w:spacing w:lineRule="auto" w:line="252"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Once registration is completed, participants will be provided with a dial-in number containing a personalized conference code to access the call. All participants are instructed to dial-in 15 minutes prior to the start time. </w:t>
      </w:r>
    </w:p>
    <w:p>
      <w:pPr>
        <w:pStyle w:val="TextBody"/>
        <w:bidi w:val="0"/>
        <w:spacing w:lineRule="auto" w:line="240" w:before="0" w:after="0"/>
        <w:ind w:left="1440" w:right="1440" w:hanging="0"/>
        <w:jc w:val="both"/>
        <w:rPr>
          <w:rFonts w:cs="Times New Roman"/>
          <w:szCs w:val="22"/>
        </w:rPr>
      </w:pPr>
      <w:r>
        <w:rPr>
          <w:rFonts w:cs="Times New Roman"/>
          <w:szCs w:val="22"/>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color w:val="000000"/>
          <w:sz w:val="24"/>
        </w:rPr>
        <w:t>A  </w:t>
      </w:r>
      <w:r>
        <w:rPr>
          <w:rFonts w:ascii="Times New Roman" w:hAnsi="Times New Roman"/>
          <w:sz w:val="24"/>
        </w:rPr>
        <w:t xml:space="preserve">taped replay of the conference call will be available beginning approximately two hours after the call's conclusion. You may access the replay via webcast through the investor relations section of Chemed’s website.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Chemed operates in the healthcare field through its VITAS Healthcare Corporation subsidiary. VITAS provides daily hospice services to patients with severe, life-limiting illnesses. This type of care is focused on making the terminally ill patient's final days as comfortable and pain-free as possible.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Chemed operates in the residential and commercial plumbing and drain cleaning industry under the brand name Roto-Rooter. Roto-Rooter provides plumbing, drain cleaning, and water cleanup services through company-owned branches, independent contractors and franchisees in the United States and Canada. Roto-Rooter also has licensed master franchisees in the republics of Indonesia and Singapore, and the Philippines.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left"/>
        <w:rPr/>
      </w:pPr>
      <w:r>
        <w:rPr/>
        <w:t xml:space="preserve">  </w:t>
      </w:r>
    </w:p>
    <w:p>
      <w:pPr>
        <w:pStyle w:val="TextBody"/>
        <w:bidi w:val="0"/>
        <w:spacing w:lineRule="auto" w:line="240" w:before="0" w:after="0"/>
        <w:ind w:left="1440" w:right="1340" w:hanging="0"/>
        <w:jc w:val="both"/>
        <w:rPr>
          <w:rFonts w:ascii="Times New Roman" w:hAnsi="Times New Roman"/>
          <w:sz w:val="24"/>
        </w:rPr>
      </w:pPr>
      <w:r>
        <w:rPr>
          <w:rFonts w:ascii="Times New Roman" w:hAnsi="Times New Roman"/>
          <w:sz w:val="24"/>
        </w:rPr>
        <w:t xml:space="preserve">This press release contains information about Chemed’s EBITDA, Adjusted EBITDA, and Adjusted Diluted EPS, which are not measures derived in accordance with GAAP and which exclude components that are important to understanding Chemed’s financial performance. In reporting its operating results, Chemed provides EBITDA, Adjusted EBITDA and Adjusted Diluted EPS measures to help investors and others evaluate the Company’s operating results, compare its operating performance with that of similar companies that have different capital structures and evaluate its ability to meet its future debt service, capital expenditures and working capital requirements. Chemed’s management similarly uses EBITDA, Adjusted EBITDA, and Adjusted Diluted EPS to assist it in evaluating the performance of the Company across fiscal periods and in assessing how its performance compares to its peer companies. These measures also help Chemed’s management to estimate the resources required to meet Chemed’s future financial obligations and expenditures. Chemed’s EBITDA, Adjusted EBITDA and Adjusted Diluted EPS should not be considered in isolation or as a substitute for comparable measures calculated and presented in accordance with GAAP. We calculated Adjusted EBITDA Margin by dividing Adjusted EBITDA by service revenue and sales. A reconciliation of Chemed’s net income to its EBITDA, Adjusted EBITDA and Adjusted Diluted EPS is presented in the tables following the text of this press release. </w:t>
      </w:r>
    </w:p>
    <w:p>
      <w:pPr>
        <w:pStyle w:val="TextBody"/>
        <w:bidi w:val="0"/>
        <w:spacing w:lineRule="auto" w:line="240" w:before="0" w:after="0"/>
        <w:ind w:left="720" w:right="1340" w:hanging="0"/>
        <w:jc w:val="left"/>
        <w:rPr>
          <w:rFonts w:cs="Times New Roman"/>
          <w:szCs w:val="24"/>
        </w:rPr>
      </w:pPr>
      <w:r>
        <w:rPr>
          <w:rFonts w:cs="Times New Roman"/>
          <w:szCs w:val="24"/>
          <w:u w:val="single"/>
        </w:rPr>
        <w:t>﻿</w:t>
      </w:r>
      <w:r>
        <w:rPr>
          <w:rFonts w:cs="Times New Roman"/>
          <w:szCs w:val="24"/>
        </w:rPr>
        <w:t xml:space="preserve"> </w:t>
      </w:r>
    </w:p>
    <w:p>
      <w:pPr>
        <w:pStyle w:val="TextBody"/>
        <w:bidi w:val="0"/>
        <w:spacing w:lineRule="auto" w:line="240" w:before="0" w:after="0"/>
        <w:ind w:left="1440" w:right="1340" w:hanging="0"/>
        <w:jc w:val="both"/>
        <w:rPr>
          <w:rFonts w:ascii="Times New Roman" w:hAnsi="Times New Roman"/>
          <w:color w:val="000000"/>
          <w:sz w:val="24"/>
        </w:rPr>
      </w:pPr>
      <w:r>
        <w:rPr>
          <w:rFonts w:ascii="Times New Roman" w:hAnsi="Times New Roman"/>
          <w:color w:val="000000"/>
          <w:sz w:val="24"/>
        </w:rPr>
        <w:t>SAFE HARBOR STATEMENT UNDER THE PRIVATE SECURITIES LITIGATION REFORM ACT OF 1995 REGARDING FORWARD-LOOKING INFORMATION</w:t>
      </w:r>
    </w:p>
    <w:p>
      <w:pPr>
        <w:pStyle w:val="TextBody"/>
        <w:bidi w:val="0"/>
        <w:spacing w:lineRule="auto" w:line="240" w:before="0" w:after="0"/>
        <w:ind w:left="1440" w:right="1340" w:hanging="0"/>
        <w:jc w:val="both"/>
        <w:rPr>
          <w:rFonts w:ascii="Times New Roman" w:hAnsi="Times New Roman"/>
          <w:i/>
          <w:sz w:val="24"/>
        </w:rPr>
      </w:pPr>
      <w:r>
        <w:rPr>
          <w:rFonts w:ascii="Times New Roman" w:hAnsi="Times New Roman"/>
          <w:i/>
          <w:sz w:val="24"/>
        </w:rPr>
        <w:t xml:space="preserve">Statements in this press release contain forward-looking statements within the meaning of the safe harbor provisions of the U.S. Private Securities Litigation Reform Act of 1995. Forward-looking statements can be identified by words such as “anticipate,” “intend,” “plan,” “goal,” “seek,” “believe,” “project,” “estimate,” “expect,” “strategy,” “future,” “likely,” “may,” “should,” “will” and similar references to future periods and are based upon assumptions subject to certain known and unknown risks, uncertainties, contingencies and other factors, including, but not limited to, the impact of laws and regulations on Chemed’s operations, including Medicare Cap and Medicare reimbursement rates, Chemed’s estimates of the effect of Medicare Cap on VITAS’ revenues and future prospects, Chemed’s expectations regarding VITAS’ patient mix and Chemed’s expectations regarding demand for Roto-Rooter’s services. </w:t>
      </w:r>
    </w:p>
    <w:p>
      <w:pPr>
        <w:pStyle w:val="TextBody"/>
        <w:bidi w:val="0"/>
        <w:spacing w:lineRule="auto" w:line="240" w:before="0" w:after="0"/>
        <w:ind w:left="1440" w:right="1340" w:hanging="0"/>
        <w:jc w:val="both"/>
        <w:rPr>
          <w:rFonts w:cs="Times New Roman"/>
          <w:szCs w:val="24"/>
        </w:rPr>
      </w:pPr>
      <w:r>
        <w:rPr>
          <w:rFonts w:cs="Times New Roman"/>
          <w:iCs/>
          <w:szCs w:val="24"/>
        </w:rPr>
        <w:t>﻿</w:t>
      </w:r>
      <w:r>
        <w:rPr>
          <w:rFonts w:cs="Times New Roman"/>
          <w:szCs w:val="24"/>
        </w:rPr>
        <w:t xml:space="preserve"> </w:t>
      </w:r>
    </w:p>
    <w:p>
      <w:pPr>
        <w:pStyle w:val="TextBody"/>
        <w:bidi w:val="0"/>
        <w:spacing w:lineRule="auto" w:line="240" w:before="0" w:after="0"/>
        <w:ind w:left="1440" w:right="1340" w:hanging="0"/>
        <w:jc w:val="both"/>
        <w:rPr>
          <w:rFonts w:ascii="Times New Roman" w:hAnsi="Times New Roman"/>
          <w:i/>
          <w:sz w:val="24"/>
        </w:rPr>
      </w:pPr>
      <w:r>
        <w:rPr>
          <w:rFonts w:ascii="Times New Roman" w:hAnsi="Times New Roman"/>
          <w:i/>
          <w:sz w:val="24"/>
        </w:rPr>
        <w:t xml:space="preserve">Because forward looking statements relate to the future, they are subject to inherent uncertainties, risks and changes in circumstances that are difficult to predict and many of which are outside of Chemed’s control. Chemed’s actual results and financial condition may differ materially from those </w:t>
      </w:r>
    </w:p>
    <w:p>
      <w:pPr>
        <w:pStyle w:val="HorizontalLine"/>
        <w:pBdr>
          <w:bottom w:val="double" w:sz="6" w:space="0" w:color="808080"/>
        </w:pBdr>
        <w:bidi w:val="0"/>
        <w:ind w:left="720" w:right="1340" w:hanging="0"/>
        <w:jc w:val="left"/>
        <w:rPr/>
      </w:pPr>
      <w:r>
        <w:rPr/>
      </w:r>
    </w:p>
    <w:p>
      <w:pPr>
        <w:pStyle w:val="TextBody"/>
        <w:bidi w:val="0"/>
        <w:ind w:left="720" w:right="1340" w:hanging="0"/>
        <w:jc w:val="left"/>
        <w:rPr/>
      </w:pPr>
      <w:r>
        <w:rPr/>
        <w:t> </w:t>
      </w:r>
      <w:r>
        <w:br w:type="page"/>
      </w:r>
    </w:p>
    <w:p>
      <w:pPr>
        <w:pStyle w:val="TextBody"/>
        <w:bidi w:val="0"/>
        <w:spacing w:lineRule="auto" w:line="240" w:before="0" w:after="0"/>
        <w:ind w:left="1440" w:right="1340" w:hanging="0"/>
        <w:jc w:val="both"/>
        <w:rPr>
          <w:rFonts w:ascii="Times New Roman" w:hAnsi="Times New Roman"/>
          <w:sz w:val="24"/>
        </w:rPr>
      </w:pPr>
      <w:r>
        <w:rPr>
          <w:rFonts w:ascii="Times New Roman" w:hAnsi="Times New Roman"/>
          <w:i/>
          <w:sz w:val="24"/>
        </w:rPr>
        <w:t>indicated in the forward-looking statements included in this press release, including as a result of the risks described above and those described in the Chemed’s Annual Report on Form 10-K for the year ended December 31, 2025 and in its Quarterly Reports filed in 2026. Any forward-looking statement made by Chemed in this press release is based only on information currently available to Chemed and speaks only as of the date on which it is made. Chemed undertakes no obligation to publicly update any forward-looking statement, whether written or oral, that may be made from time to time, whether as a result of new information, future developments or otherwise.</w:t>
      </w:r>
      <w:r>
        <w:rPr>
          <w:rFonts w:ascii="Times New Roman" w:hAnsi="Times New Roman"/>
          <w:sz w:val="24"/>
        </w:rPr>
        <w:t xml:space="preserve"> </w:t>
      </w:r>
    </w:p>
    <w:p>
      <w:pPr>
        <w:pStyle w:val="TextBody"/>
        <w:bidi w:val="0"/>
        <w:spacing w:lineRule="auto" w:line="240" w:before="0" w:after="0"/>
        <w:ind w:left="1440" w:right="1520" w:hanging="0"/>
        <w:jc w:val="both"/>
        <w:rPr>
          <w:rFonts w:cs="Times New Roman"/>
          <w:szCs w:val="24"/>
        </w:rPr>
      </w:pPr>
      <w:r>
        <w:rPr>
          <w:rFonts w:cs="Times New Roman"/>
          <w:iCs/>
          <w:szCs w:val="24"/>
        </w:rPr>
        <w:t>﻿</w:t>
      </w:r>
      <w:r>
        <w:rPr>
          <w:rFonts w:cs="Times New Roman"/>
          <w:szCs w:val="24"/>
        </w:rPr>
        <w:t xml:space="preserve"> </w:t>
      </w:r>
    </w:p>
    <w:p>
      <w:pPr>
        <w:pStyle w:val="TextBody"/>
        <w:bidi w:val="0"/>
        <w:spacing w:lineRule="auto" w:line="240" w:before="0" w:after="0"/>
        <w:ind w:left="1440" w:right="1520" w:hanging="0"/>
        <w:jc w:val="both"/>
        <w:rPr>
          <w:rFonts w:cs="Times New Roman"/>
          <w:szCs w:val="24"/>
        </w:rPr>
      </w:pPr>
      <w:r>
        <w:rPr>
          <w:rFonts w:cs="Times New Roman"/>
          <w:iCs/>
          <w:szCs w:val="24"/>
        </w:rPr>
        <w:t>﻿</w:t>
      </w:r>
      <w:r>
        <w:rPr>
          <w:rFonts w:cs="Times New Roman"/>
          <w:szCs w:val="24"/>
        </w:rPr>
        <w:t xml:space="preserve"> </w:t>
      </w:r>
    </w:p>
    <w:p>
      <w:pPr>
        <w:pStyle w:val="TextBody"/>
        <w:bidi w:val="0"/>
        <w:spacing w:lineRule="auto" w:line="240" w:before="0" w:after="0"/>
        <w:ind w:left="1440" w:right="1520" w:hanging="0"/>
        <w:jc w:val="both"/>
        <w:rPr>
          <w:rFonts w:cs="Times New Roman"/>
          <w:szCs w:val="24"/>
        </w:rPr>
      </w:pPr>
      <w:r>
        <w:rPr>
          <w:rFonts w:cs="Times New Roman"/>
          <w:iCs/>
          <w:szCs w:val="24"/>
        </w:rPr>
        <w:t>﻿</w:t>
      </w:r>
      <w:r>
        <w:rPr>
          <w:rFonts w:cs="Times New Roman"/>
          <w:szCs w:val="24"/>
        </w:rPr>
        <w:t xml:space="preserve"> </w:t>
      </w:r>
    </w:p>
    <w:p>
      <w:pPr>
        <w:pStyle w:val="TextBody"/>
        <w:bidi w:val="0"/>
        <w:spacing w:lineRule="auto" w:line="240" w:before="0" w:after="0"/>
        <w:ind w:left="1440" w:right="1520" w:hanging="0"/>
        <w:jc w:val="both"/>
        <w:rPr>
          <w:rFonts w:cs="Times New Roman"/>
          <w:szCs w:val="24"/>
        </w:rPr>
      </w:pPr>
      <w:r>
        <w:rPr>
          <w:rFonts w:cs="Times New Roman"/>
          <w:iCs/>
          <w:szCs w:val="24"/>
        </w:rPr>
        <w:t>﻿</w:t>
      </w:r>
      <w:r>
        <w:rPr>
          <w:rFonts w:cs="Times New Roman"/>
          <w:szCs w:val="24"/>
        </w:rPr>
        <w:t xml:space="preserve"> </w:t>
      </w:r>
    </w:p>
    <w:p>
      <w:pPr>
        <w:pStyle w:val="TextBody"/>
        <w:bidi w:val="0"/>
        <w:spacing w:lineRule="auto" w:line="240" w:before="0" w:after="0"/>
        <w:ind w:left="1440" w:right="1520" w:hanging="0"/>
        <w:jc w:val="both"/>
        <w:rPr>
          <w:rFonts w:cs="Times New Roman"/>
          <w:szCs w:val="24"/>
        </w:rPr>
      </w:pPr>
      <w:r>
        <w:rPr>
          <w:rFonts w:cs="Times New Roman"/>
          <w:iCs/>
          <w:szCs w:val="24"/>
        </w:rPr>
        <w:t>﻿</w:t>
      </w:r>
      <w:r>
        <w:rPr>
          <w:rFonts w:cs="Times New Roman"/>
          <w:szCs w:val="24"/>
        </w:rPr>
        <w:t xml:space="preserve"> </w:t>
      </w:r>
    </w:p>
    <w:p>
      <w:pPr>
        <w:pStyle w:val="HorizontalLine"/>
        <w:pBdr>
          <w:bottom w:val="double" w:sz="6" w:space="0" w:color="808080"/>
        </w:pBdr>
        <w:bidi w:val="0"/>
        <w:ind w:left="720" w:right="1340" w:hanging="0"/>
        <w:jc w:val="left"/>
        <w:rPr/>
      </w:pPr>
      <w:r>
        <w:rPr/>
      </w:r>
    </w:p>
    <w:p>
      <w:pPr>
        <w:pStyle w:val="TextBody"/>
        <w:bidi w:val="0"/>
        <w:ind w:left="720" w:right="1340" w:hanging="0"/>
        <w:jc w:val="left"/>
        <w:rPr/>
      </w:pPr>
      <w:r>
        <w:rPr/>
        <w:t> </w:t>
      </w:r>
      <w:r>
        <w:br w:type="page"/>
      </w:r>
    </w:p>
    <w:p>
      <w:pPr>
        <w:pStyle w:val="TextBody"/>
        <w:bidi w:val="0"/>
        <w:spacing w:lineRule="auto" w:line="427" w:before="0" w:after="0"/>
        <w:ind w:left="1440" w:right="2150" w:hanging="0"/>
        <w:jc w:val="center"/>
        <w:rPr>
          <w:rFonts w:cs="Times New Roman"/>
          <w:szCs w:val="2"/>
        </w:rPr>
      </w:pPr>
      <w:r>
        <w:rPr>
          <w:rFonts w:cs="Times New Roman"/>
          <w:szCs w:val="2"/>
        </w:rPr>
        <w:t xml:space="preserve">﻿ </w:t>
      </w:r>
    </w:p>
    <w:p>
      <w:pPr>
        <w:pStyle w:val="TextBody"/>
        <w:bidi w:val="0"/>
        <w:spacing w:lineRule="auto" w:line="427" w:before="0" w:after="0"/>
        <w:ind w:left="1440" w:right="2150" w:hanging="0"/>
        <w:jc w:val="center"/>
        <w:rPr>
          <w:rFonts w:cs="Times New Roman"/>
          <w:szCs w:val="2"/>
        </w:rPr>
      </w:pPr>
      <w:r>
        <w:rPr>
          <w:rFonts w:cs="Times New Roman"/>
          <w:szCs w:val="2"/>
        </w:rPr>
        <w:t xml:space="preserve">﻿ </w:t>
      </w:r>
    </w:p>
    <w:p>
      <w:pPr>
        <w:pStyle w:val="TextBody"/>
        <w:bidi w:val="0"/>
        <w:spacing w:lineRule="auto" w:line="240" w:before="0" w:after="0"/>
        <w:ind w:left="1440" w:right="2150" w:hanging="0"/>
        <w:jc w:val="left"/>
        <w:rPr>
          <w:rFonts w:cs="Times New Roman"/>
          <w:szCs w:val="2"/>
        </w:rPr>
      </w:pPr>
      <w:r>
        <w:rPr>
          <w:rFonts w:cs="Times New Roman"/>
          <w:szCs w:val="2"/>
        </w:rPr>
        <w:t xml:space="preserve">﻿ </w:t>
      </w:r>
    </w:p>
    <w:tbl>
      <w:tblPr>
        <w:tblW w:w="8145" w:type="dxa"/>
        <w:jc w:val="left"/>
        <w:tblInd w:w="720" w:type="dxa"/>
        <w:tblLayout w:type="fixed"/>
        <w:tblCellMar>
          <w:top w:w="0" w:type="dxa"/>
          <w:left w:w="0" w:type="dxa"/>
          <w:bottom w:w="0" w:type="dxa"/>
          <w:right w:w="0" w:type="dxa"/>
        </w:tblCellMar>
      </w:tblPr>
      <w:tblGrid>
        <w:gridCol w:w="3894"/>
        <w:gridCol w:w="60"/>
        <w:gridCol w:w="139"/>
        <w:gridCol w:w="883"/>
        <w:gridCol w:w="75"/>
        <w:gridCol w:w="139"/>
        <w:gridCol w:w="883"/>
        <w:gridCol w:w="60"/>
        <w:gridCol w:w="112"/>
        <w:gridCol w:w="853"/>
        <w:gridCol w:w="60"/>
        <w:gridCol w:w="112"/>
        <w:gridCol w:w="875"/>
      </w:tblGrid>
      <w:tr>
        <w:trPr/>
        <w:tc>
          <w:tcPr>
            <w:tcW w:w="3894"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vAlign w:val="bottom"/>
          </w:tcPr>
          <w:p>
            <w:pPr>
              <w:pStyle w:val="TableContents"/>
              <w:bidi w:val="0"/>
              <w:spacing w:lineRule="auto" w:line="240" w:before="0" w:after="0"/>
              <w:ind w:left="0" w:right="0" w:hanging="0"/>
              <w:jc w:val="left"/>
              <w:rPr/>
            </w:pPr>
            <w:r>
              <w:rPr/>
              <w:t> </w:t>
            </w:r>
          </w:p>
        </w:tc>
        <w:tc>
          <w:tcPr>
            <w:tcW w:w="883"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vAlign w:val="bottom"/>
          </w:tcPr>
          <w:p>
            <w:pPr>
              <w:pStyle w:val="TableContents"/>
              <w:bidi w:val="0"/>
              <w:spacing w:lineRule="auto" w:line="240" w:before="0" w:after="0"/>
              <w:ind w:left="0" w:right="0" w:hanging="0"/>
              <w:jc w:val="left"/>
              <w:rPr/>
            </w:pPr>
            <w:r>
              <w:rPr/>
              <w:t> </w:t>
            </w:r>
          </w:p>
        </w:tc>
        <w:tc>
          <w:tcPr>
            <w:tcW w:w="883"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vAlign w:val="bottom"/>
          </w:tcPr>
          <w:p>
            <w:pPr>
              <w:pStyle w:val="TableContents"/>
              <w:bidi w:val="0"/>
              <w:spacing w:lineRule="auto" w:line="240" w:before="0" w:after="0"/>
              <w:ind w:left="0" w:right="0" w:hanging="0"/>
              <w:jc w:val="left"/>
              <w:rPr/>
            </w:pPr>
            <w:r>
              <w:rPr/>
              <w:t> </w:t>
            </w:r>
          </w:p>
        </w:tc>
        <w:tc>
          <w:tcPr>
            <w:tcW w:w="853"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vAlign w:val="bottom"/>
          </w:tcPr>
          <w:p>
            <w:pPr>
              <w:pStyle w:val="TableContents"/>
              <w:bidi w:val="0"/>
              <w:spacing w:lineRule="auto" w:line="240" w:before="0" w:after="0"/>
              <w:ind w:left="0" w:right="0" w:hanging="0"/>
              <w:jc w:val="left"/>
              <w:rPr/>
            </w:pPr>
            <w:r>
              <w:rPr/>
              <w:t> </w:t>
            </w:r>
          </w:p>
        </w:tc>
        <w:tc>
          <w:tcPr>
            <w:tcW w:w="875" w:type="dxa"/>
            <w:tcBorders/>
            <w:vAlign w:val="bottom"/>
          </w:tcPr>
          <w:p>
            <w:pPr>
              <w:pStyle w:val="TableContents"/>
              <w:bidi w:val="0"/>
              <w:spacing w:lineRule="auto" w:line="240" w:before="0" w:after="0"/>
              <w:ind w:left="0" w:right="0" w:hanging="0"/>
              <w:jc w:val="left"/>
              <w:rPr/>
            </w:pPr>
            <w:r>
              <w:rPr/>
              <w:t> </w:t>
            </w:r>
          </w:p>
        </w:tc>
      </w:tr>
      <w:tr>
        <w:trPr/>
        <w:tc>
          <w:tcPr>
            <w:tcW w:w="8145" w:type="dxa"/>
            <w:gridSpan w:val="13"/>
            <w:tcBorders/>
            <w:vAlign w:val="bottom"/>
          </w:tcPr>
          <w:p>
            <w:pPr>
              <w:pStyle w:val="TableContents"/>
              <w:bidi w:val="0"/>
              <w:spacing w:lineRule="auto" w:line="240" w:before="0" w:after="0"/>
              <w:ind w:left="0" w:right="0" w:hanging="0"/>
              <w:jc w:val="center"/>
              <w:rPr>
                <w:rFonts w:ascii="Times New Roman" w:hAnsi="Times New Roman"/>
                <w:b/>
                <w:color w:val="000000"/>
                <w:sz w:val="18"/>
              </w:rPr>
            </w:pPr>
            <w:r>
              <w:rPr>
                <w:rFonts w:ascii="Times New Roman" w:hAnsi="Times New Roman"/>
                <w:b/>
                <w:color w:val="000000"/>
                <w:sz w:val="18"/>
              </w:rPr>
              <w:t>CHEMED CORPORATION AND SUBSIDIARY COMPANIES</w:t>
            </w:r>
          </w:p>
        </w:tc>
      </w:tr>
      <w:tr>
        <w:trPr/>
        <w:tc>
          <w:tcPr>
            <w:tcW w:w="8145" w:type="dxa"/>
            <w:gridSpan w:val="13"/>
            <w:tcBorders/>
            <w:vAlign w:val="bottom"/>
          </w:tcPr>
          <w:p>
            <w:pPr>
              <w:pStyle w:val="TableContents"/>
              <w:bidi w:val="0"/>
              <w:spacing w:lineRule="auto" w:line="240" w:before="0" w:after="0"/>
              <w:ind w:left="0" w:right="0" w:hanging="0"/>
              <w:jc w:val="center"/>
              <w:rPr>
                <w:rFonts w:ascii="Times New Roman" w:hAnsi="Times New Roman"/>
                <w:b/>
                <w:color w:val="000000"/>
                <w:sz w:val="18"/>
              </w:rPr>
            </w:pPr>
            <w:r>
              <w:rPr>
                <w:rFonts w:ascii="Times New Roman" w:hAnsi="Times New Roman"/>
                <w:b/>
                <w:color w:val="000000"/>
                <w:sz w:val="18"/>
              </w:rPr>
              <w:t>CONSOLIDATED STATEMENTS OF INCOME</w:t>
            </w:r>
          </w:p>
        </w:tc>
      </w:tr>
      <w:tr>
        <w:trPr/>
        <w:tc>
          <w:tcPr>
            <w:tcW w:w="8145" w:type="dxa"/>
            <w:gridSpan w:val="13"/>
            <w:tcBorders/>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(in thousands, except per share data)(unaudited)</w:t>
            </w:r>
          </w:p>
        </w:tc>
      </w:tr>
      <w:tr>
        <w:trPr/>
        <w:tc>
          <w:tcPr>
            <w:tcW w:w="3894" w:type="dxa"/>
            <w:tcBorders/>
            <w:vAlign w:val="bottom"/>
          </w:tcPr>
          <w:p>
            <w:pPr>
              <w:pStyle w:val="TableContents"/>
              <w:bidi w:val="0"/>
              <w:spacing w:lineRule="auto" w:line="240" w:before="0" w:after="0"/>
              <w:ind w:left="0" w:right="0" w:hanging="0"/>
              <w:jc w:val="left"/>
              <w:rPr>
                <w:rFonts w:cs="Times New Roman"/>
                <w:color w:val="000000"/>
                <w:szCs w:val="18"/>
              </w:rPr>
            </w:pPr>
            <w:r>
              <w:rPr>
                <w:rFonts w:cs="Times New Roman"/>
                <w:color w:val="000000"/>
                <w:szCs w:val="18"/>
              </w:rPr>
              <w:t>﻿</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vAlign w:val="bottom"/>
          </w:tcPr>
          <w:p>
            <w:pPr>
              <w:pStyle w:val="TableContents"/>
              <w:bidi w:val="0"/>
              <w:spacing w:lineRule="auto" w:line="240" w:before="0" w:after="0"/>
              <w:ind w:left="0" w:right="0" w:hanging="0"/>
              <w:jc w:val="left"/>
              <w:rPr/>
            </w:pPr>
            <w:r>
              <w:rPr/>
              <w:t> </w:t>
            </w:r>
          </w:p>
        </w:tc>
        <w:tc>
          <w:tcPr>
            <w:tcW w:w="883"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vAlign w:val="bottom"/>
          </w:tcPr>
          <w:p>
            <w:pPr>
              <w:pStyle w:val="TableContents"/>
              <w:bidi w:val="0"/>
              <w:spacing w:lineRule="auto" w:line="240" w:before="0" w:after="0"/>
              <w:ind w:left="0" w:right="0" w:hanging="0"/>
              <w:jc w:val="left"/>
              <w:rPr/>
            </w:pPr>
            <w:r>
              <w:rPr/>
              <w:t> </w:t>
            </w:r>
          </w:p>
        </w:tc>
        <w:tc>
          <w:tcPr>
            <w:tcW w:w="883"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vAlign w:val="bottom"/>
          </w:tcPr>
          <w:p>
            <w:pPr>
              <w:pStyle w:val="TableContents"/>
              <w:bidi w:val="0"/>
              <w:spacing w:lineRule="auto" w:line="240" w:before="0" w:after="0"/>
              <w:ind w:left="0" w:right="0" w:hanging="0"/>
              <w:jc w:val="left"/>
              <w:rPr/>
            </w:pPr>
            <w:r>
              <w:rPr/>
              <w:t> </w:t>
            </w:r>
          </w:p>
        </w:tc>
        <w:tc>
          <w:tcPr>
            <w:tcW w:w="853"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vAlign w:val="bottom"/>
          </w:tcPr>
          <w:p>
            <w:pPr>
              <w:pStyle w:val="TableContents"/>
              <w:bidi w:val="0"/>
              <w:spacing w:lineRule="auto" w:line="240" w:before="0" w:after="0"/>
              <w:ind w:left="0" w:right="0" w:hanging="0"/>
              <w:jc w:val="left"/>
              <w:rPr/>
            </w:pPr>
            <w:r>
              <w:rPr/>
              <w:t> </w:t>
            </w:r>
          </w:p>
        </w:tc>
        <w:tc>
          <w:tcPr>
            <w:tcW w:w="875" w:type="dxa"/>
            <w:tcBorders/>
            <w:vAlign w:val="bottom"/>
          </w:tcPr>
          <w:p>
            <w:pPr>
              <w:pStyle w:val="TableContents"/>
              <w:bidi w:val="0"/>
              <w:spacing w:lineRule="auto" w:line="240" w:before="0" w:after="0"/>
              <w:ind w:left="0" w:right="0" w:hanging="0"/>
              <w:jc w:val="left"/>
              <w:rPr/>
            </w:pPr>
            <w:r>
              <w:rPr/>
              <w:t> </w:t>
            </w:r>
          </w:p>
        </w:tc>
      </w:tr>
      <w:tr>
        <w:trPr/>
        <w:tc>
          <w:tcPr>
            <w:tcW w:w="3894" w:type="dxa"/>
            <w:tcBorders/>
            <w:vAlign w:val="bottom"/>
          </w:tcPr>
          <w:p>
            <w:pPr>
              <w:pStyle w:val="TableContents"/>
              <w:bidi w:val="0"/>
              <w:spacing w:lineRule="auto" w:line="240" w:before="0" w:after="0"/>
              <w:ind w:left="0" w:right="0" w:hanging="0"/>
              <w:jc w:val="left"/>
              <w:rPr>
                <w:rFonts w:cs="Times New Roman"/>
                <w:color w:val="000000"/>
                <w:szCs w:val="18"/>
              </w:rPr>
            </w:pPr>
            <w:r>
              <w:rPr>
                <w:rFonts w:cs="Times New Roman"/>
                <w:color w:val="000000"/>
                <w:szCs w:val="18"/>
              </w:rPr>
              <w:t>﻿</w:t>
            </w:r>
          </w:p>
        </w:tc>
        <w:tc>
          <w:tcPr>
            <w:tcW w:w="60" w:type="dxa"/>
            <w:tcBorders/>
            <w:vAlign w:val="bottom"/>
          </w:tcPr>
          <w:p>
            <w:pPr>
              <w:pStyle w:val="TableContents"/>
              <w:bidi w:val="0"/>
              <w:spacing w:lineRule="auto" w:line="240" w:before="0" w:after="0"/>
              <w:ind w:left="0" w:right="0" w:hanging="0"/>
              <w:jc w:val="left"/>
              <w:rPr/>
            </w:pPr>
            <w:r>
              <w:rPr/>
              <w:t> </w:t>
            </w:r>
          </w:p>
        </w:tc>
        <w:tc>
          <w:tcPr>
            <w:tcW w:w="2119" w:type="dxa"/>
            <w:gridSpan w:val="5"/>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Three Months Ended June 30,</w:t>
            </w:r>
          </w:p>
        </w:tc>
        <w:tc>
          <w:tcPr>
            <w:tcW w:w="60" w:type="dxa"/>
            <w:tcBorders/>
            <w:vAlign w:val="bottom"/>
          </w:tcPr>
          <w:p>
            <w:pPr>
              <w:pStyle w:val="TableContents"/>
              <w:bidi w:val="0"/>
              <w:spacing w:lineRule="auto" w:line="240" w:before="0" w:after="0"/>
              <w:ind w:left="0" w:right="0" w:hanging="0"/>
              <w:jc w:val="left"/>
              <w:rPr/>
            </w:pPr>
            <w:r>
              <w:rPr/>
              <w:t> </w:t>
            </w:r>
          </w:p>
        </w:tc>
        <w:tc>
          <w:tcPr>
            <w:tcW w:w="2012" w:type="dxa"/>
            <w:gridSpan w:val="5"/>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Six Months Ended June 30,</w:t>
            </w:r>
          </w:p>
        </w:tc>
      </w:tr>
      <w:tr>
        <w:trPr/>
        <w:tc>
          <w:tcPr>
            <w:tcW w:w="3894" w:type="dxa"/>
            <w:tcBorders/>
            <w:vAlign w:val="bottom"/>
          </w:tcPr>
          <w:p>
            <w:pPr>
              <w:pStyle w:val="TableContents"/>
              <w:bidi w:val="0"/>
              <w:spacing w:lineRule="auto" w:line="240" w:before="0" w:after="0"/>
              <w:ind w:left="0" w:right="0" w:hanging="0"/>
              <w:jc w:val="left"/>
              <w:rPr>
                <w:rFonts w:cs="Times New Roman"/>
                <w:color w:val="000000"/>
                <w:szCs w:val="18"/>
              </w:rPr>
            </w:pPr>
            <w:r>
              <w:rPr>
                <w:rFonts w:cs="Times New Roman"/>
                <w:color w:val="000000"/>
                <w:szCs w:val="18"/>
              </w:rPr>
              <w:t>﻿</w:t>
            </w:r>
          </w:p>
        </w:tc>
        <w:tc>
          <w:tcPr>
            <w:tcW w:w="60" w:type="dxa"/>
            <w:tcBorders/>
            <w:vAlign w:val="bottom"/>
          </w:tcPr>
          <w:p>
            <w:pPr>
              <w:pStyle w:val="TableContents"/>
              <w:bidi w:val="0"/>
              <w:spacing w:lineRule="auto" w:line="240" w:before="0" w:after="0"/>
              <w:ind w:left="0" w:right="0" w:hanging="0"/>
              <w:jc w:val="left"/>
              <w:rPr/>
            </w:pPr>
            <w:r>
              <w:rPr/>
              <w:t> </w:t>
            </w:r>
          </w:p>
        </w:tc>
        <w:tc>
          <w:tcPr>
            <w:tcW w:w="1022"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8"/>
              </w:rPr>
            </w:pPr>
            <w:r>
              <w:rPr>
                <w:rFonts w:ascii="Times New Roman" w:hAnsi="Times New Roman"/>
                <w:b/>
                <w:color w:val="000000"/>
                <w:sz w:val="18"/>
              </w:rPr>
              <w:t>2026</w:t>
            </w:r>
          </w:p>
        </w:tc>
        <w:tc>
          <w:tcPr>
            <w:tcW w:w="7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22"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2025</w:t>
            </w:r>
          </w:p>
        </w:tc>
        <w:tc>
          <w:tcPr>
            <w:tcW w:w="60" w:type="dxa"/>
            <w:tcBorders/>
            <w:vAlign w:val="bottom"/>
          </w:tcPr>
          <w:p>
            <w:pPr>
              <w:pStyle w:val="TableContents"/>
              <w:bidi w:val="0"/>
              <w:spacing w:lineRule="auto" w:line="240" w:before="0" w:after="0"/>
              <w:ind w:left="0" w:right="0" w:hanging="0"/>
              <w:jc w:val="left"/>
              <w:rPr/>
            </w:pPr>
            <w:r>
              <w:rPr/>
              <w:t> </w:t>
            </w:r>
          </w:p>
        </w:tc>
        <w:tc>
          <w:tcPr>
            <w:tcW w:w="965"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8"/>
              </w:rPr>
            </w:pPr>
            <w:r>
              <w:rPr>
                <w:rFonts w:ascii="Times New Roman" w:hAnsi="Times New Roman"/>
                <w:b/>
                <w:color w:val="000000"/>
                <w:sz w:val="18"/>
              </w:rPr>
              <w:t>2026</w:t>
            </w:r>
          </w:p>
        </w:tc>
        <w:tc>
          <w:tcPr>
            <w:tcW w:w="6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87"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2025</w:t>
            </w:r>
          </w:p>
        </w:tc>
      </w:tr>
      <w:tr>
        <w:trPr/>
        <w:tc>
          <w:tcPr>
            <w:tcW w:w="3894"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Service revenues and sales</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b/>
                <w:color w:val="000000"/>
                <w:sz w:val="18"/>
              </w:rPr>
            </w:pPr>
            <w:r>
              <w:rPr>
                <w:rFonts w:ascii="Times New Roman" w:hAnsi="Times New Roman"/>
                <w:b/>
                <w:color w:val="000000"/>
                <w:sz w:val="18"/>
              </w:rPr>
              <w:t>$</w:t>
            </w:r>
          </w:p>
        </w:tc>
        <w:tc>
          <w:tcPr>
            <w:tcW w:w="883"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673,251 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w:t>
            </w:r>
          </w:p>
        </w:tc>
        <w:tc>
          <w:tcPr>
            <w:tcW w:w="883"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618,798 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b/>
                <w:color w:val="000000"/>
                <w:sz w:val="18"/>
              </w:rPr>
            </w:pPr>
            <w:r>
              <w:rPr>
                <w:rFonts w:ascii="Times New Roman" w:hAnsi="Times New Roman"/>
                <w:b/>
                <w:color w:val="000000"/>
                <w:sz w:val="18"/>
              </w:rPr>
              <w:t>$</w:t>
            </w:r>
          </w:p>
        </w:tc>
        <w:tc>
          <w:tcPr>
            <w:tcW w:w="853"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1,330,764 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875"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1,265,741  </w:t>
            </w:r>
          </w:p>
        </w:tc>
      </w:tr>
      <w:tr>
        <w:trPr/>
        <w:tc>
          <w:tcPr>
            <w:tcW w:w="3894"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Cost of services provided and goods sold</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83"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451,780 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83"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434,105 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53"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893,529 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75"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864,635  </w:t>
            </w:r>
          </w:p>
        </w:tc>
      </w:tr>
      <w:tr>
        <w:trPr/>
        <w:tc>
          <w:tcPr>
            <w:tcW w:w="3894"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Selling, general and administrative expenses (aa)</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vAlign w:val="bottom"/>
          </w:tcPr>
          <w:p>
            <w:pPr>
              <w:pStyle w:val="TableContents"/>
              <w:bidi w:val="0"/>
              <w:spacing w:lineRule="auto" w:line="240" w:before="0" w:after="0"/>
              <w:ind w:left="0" w:right="0" w:hanging="0"/>
              <w:jc w:val="left"/>
              <w:rPr/>
            </w:pPr>
            <w:r>
              <w:rPr/>
              <w:t> </w:t>
            </w:r>
          </w:p>
        </w:tc>
        <w:tc>
          <w:tcPr>
            <w:tcW w:w="883" w:type="dxa"/>
            <w:tcBorders/>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115,203 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vAlign w:val="bottom"/>
          </w:tcPr>
          <w:p>
            <w:pPr>
              <w:pStyle w:val="TableContents"/>
              <w:bidi w:val="0"/>
              <w:spacing w:lineRule="auto" w:line="240" w:before="0" w:after="0"/>
              <w:ind w:left="0" w:right="0" w:hanging="0"/>
              <w:jc w:val="left"/>
              <w:rPr/>
            </w:pPr>
            <w:r>
              <w:rPr/>
              <w:t> </w:t>
            </w:r>
          </w:p>
        </w:tc>
        <w:tc>
          <w:tcPr>
            <w:tcW w:w="883" w:type="dxa"/>
            <w:tcBorders/>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100,323 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vAlign w:val="bottom"/>
          </w:tcPr>
          <w:p>
            <w:pPr>
              <w:pStyle w:val="TableContents"/>
              <w:bidi w:val="0"/>
              <w:spacing w:lineRule="auto" w:line="240" w:before="0" w:after="0"/>
              <w:ind w:left="0" w:right="0" w:hanging="0"/>
              <w:jc w:val="left"/>
              <w:rPr/>
            </w:pPr>
            <w:r>
              <w:rPr/>
              <w:t> </w:t>
            </w:r>
          </w:p>
        </w:tc>
        <w:tc>
          <w:tcPr>
            <w:tcW w:w="853" w:type="dxa"/>
            <w:tcBorders/>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229,524 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vAlign w:val="bottom"/>
          </w:tcPr>
          <w:p>
            <w:pPr>
              <w:pStyle w:val="TableContents"/>
              <w:bidi w:val="0"/>
              <w:spacing w:lineRule="auto" w:line="240" w:before="0" w:after="0"/>
              <w:ind w:left="0" w:right="0" w:hanging="0"/>
              <w:jc w:val="left"/>
              <w:rPr/>
            </w:pPr>
            <w:r>
              <w:rPr/>
              <w:t> </w:t>
            </w:r>
          </w:p>
        </w:tc>
        <w:tc>
          <w:tcPr>
            <w:tcW w:w="875" w:type="dxa"/>
            <w:tcBorders/>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205,910  </w:t>
            </w:r>
          </w:p>
        </w:tc>
      </w:tr>
      <w:tr>
        <w:trPr/>
        <w:tc>
          <w:tcPr>
            <w:tcW w:w="3894"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Depreciation</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vAlign w:val="bottom"/>
          </w:tcPr>
          <w:p>
            <w:pPr>
              <w:pStyle w:val="TableContents"/>
              <w:bidi w:val="0"/>
              <w:spacing w:lineRule="auto" w:line="240" w:before="0" w:after="0"/>
              <w:ind w:left="0" w:right="0" w:hanging="0"/>
              <w:jc w:val="left"/>
              <w:rPr/>
            </w:pPr>
            <w:r>
              <w:rPr/>
              <w:t> </w:t>
            </w:r>
          </w:p>
        </w:tc>
        <w:tc>
          <w:tcPr>
            <w:tcW w:w="883" w:type="dxa"/>
            <w:tcBorders/>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14,267 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vAlign w:val="bottom"/>
          </w:tcPr>
          <w:p>
            <w:pPr>
              <w:pStyle w:val="TableContents"/>
              <w:bidi w:val="0"/>
              <w:spacing w:lineRule="auto" w:line="240" w:before="0" w:after="0"/>
              <w:ind w:left="0" w:right="0" w:hanging="0"/>
              <w:jc w:val="left"/>
              <w:rPr/>
            </w:pPr>
            <w:r>
              <w:rPr/>
              <w:t> </w:t>
            </w:r>
          </w:p>
        </w:tc>
        <w:tc>
          <w:tcPr>
            <w:tcW w:w="883" w:type="dxa"/>
            <w:tcBorders/>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13,689 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vAlign w:val="bottom"/>
          </w:tcPr>
          <w:p>
            <w:pPr>
              <w:pStyle w:val="TableContents"/>
              <w:bidi w:val="0"/>
              <w:spacing w:lineRule="auto" w:line="240" w:before="0" w:after="0"/>
              <w:ind w:left="0" w:right="0" w:hanging="0"/>
              <w:jc w:val="left"/>
              <w:rPr/>
            </w:pPr>
            <w:r>
              <w:rPr/>
              <w:t> </w:t>
            </w:r>
          </w:p>
        </w:tc>
        <w:tc>
          <w:tcPr>
            <w:tcW w:w="853" w:type="dxa"/>
            <w:tcBorders/>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28,570 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vAlign w:val="bottom"/>
          </w:tcPr>
          <w:p>
            <w:pPr>
              <w:pStyle w:val="TableContents"/>
              <w:bidi w:val="0"/>
              <w:spacing w:lineRule="auto" w:line="240" w:before="0" w:after="0"/>
              <w:ind w:left="0" w:right="0" w:hanging="0"/>
              <w:jc w:val="left"/>
              <w:rPr/>
            </w:pPr>
            <w:r>
              <w:rPr/>
              <w:t> </w:t>
            </w:r>
          </w:p>
        </w:tc>
        <w:tc>
          <w:tcPr>
            <w:tcW w:w="875" w:type="dxa"/>
            <w:tcBorders/>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27,134  </w:t>
            </w:r>
          </w:p>
        </w:tc>
      </w:tr>
      <w:tr>
        <w:trPr/>
        <w:tc>
          <w:tcPr>
            <w:tcW w:w="3894"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Amortization</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vAlign w:val="bottom"/>
          </w:tcPr>
          <w:p>
            <w:pPr>
              <w:pStyle w:val="TableContents"/>
              <w:bidi w:val="0"/>
              <w:spacing w:lineRule="auto" w:line="240" w:before="0" w:after="0"/>
              <w:ind w:left="0" w:right="0" w:hanging="0"/>
              <w:jc w:val="left"/>
              <w:rPr/>
            </w:pPr>
            <w:r>
              <w:rPr/>
              <w:t> </w:t>
            </w:r>
          </w:p>
        </w:tc>
        <w:tc>
          <w:tcPr>
            <w:tcW w:w="883" w:type="dxa"/>
            <w:tcBorders/>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2,719 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vAlign w:val="bottom"/>
          </w:tcPr>
          <w:p>
            <w:pPr>
              <w:pStyle w:val="TableContents"/>
              <w:bidi w:val="0"/>
              <w:spacing w:lineRule="auto" w:line="240" w:before="0" w:after="0"/>
              <w:ind w:left="0" w:right="0" w:hanging="0"/>
              <w:jc w:val="left"/>
              <w:rPr/>
            </w:pPr>
            <w:r>
              <w:rPr/>
              <w:t> </w:t>
            </w:r>
          </w:p>
        </w:tc>
        <w:tc>
          <w:tcPr>
            <w:tcW w:w="883" w:type="dxa"/>
            <w:tcBorders/>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2,571 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vAlign w:val="bottom"/>
          </w:tcPr>
          <w:p>
            <w:pPr>
              <w:pStyle w:val="TableContents"/>
              <w:bidi w:val="0"/>
              <w:spacing w:lineRule="auto" w:line="240" w:before="0" w:after="0"/>
              <w:ind w:left="0" w:right="0" w:hanging="0"/>
              <w:jc w:val="left"/>
              <w:rPr/>
            </w:pPr>
            <w:r>
              <w:rPr/>
              <w:t> </w:t>
            </w:r>
          </w:p>
        </w:tc>
        <w:tc>
          <w:tcPr>
            <w:tcW w:w="853" w:type="dxa"/>
            <w:tcBorders/>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5,289 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vAlign w:val="bottom"/>
          </w:tcPr>
          <w:p>
            <w:pPr>
              <w:pStyle w:val="TableContents"/>
              <w:bidi w:val="0"/>
              <w:spacing w:lineRule="auto" w:line="240" w:before="0" w:after="0"/>
              <w:ind w:left="0" w:right="0" w:hanging="0"/>
              <w:jc w:val="left"/>
              <w:rPr/>
            </w:pPr>
            <w:r>
              <w:rPr/>
              <w:t> </w:t>
            </w:r>
          </w:p>
        </w:tc>
        <w:tc>
          <w:tcPr>
            <w:tcW w:w="875" w:type="dxa"/>
            <w:tcBorders/>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5,143  </w:t>
            </w:r>
          </w:p>
        </w:tc>
      </w:tr>
      <w:tr>
        <w:trPr/>
        <w:tc>
          <w:tcPr>
            <w:tcW w:w="3894"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Other operating expense</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83"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78 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83"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26 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53"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70 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7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77  </w:t>
            </w:r>
          </w:p>
        </w:tc>
      </w:tr>
      <w:tr>
        <w:trPr/>
        <w:tc>
          <w:tcPr>
            <w:tcW w:w="3894" w:type="dxa"/>
            <w:tcBorders/>
            <w:vAlign w:val="bottom"/>
          </w:tcPr>
          <w:p>
            <w:pPr>
              <w:pStyle w:val="TableContents"/>
              <w:bidi w:val="0"/>
              <w:spacing w:lineRule="auto" w:line="240" w:before="0" w:after="0"/>
              <w:ind w:left="240" w:right="0" w:hanging="0"/>
              <w:jc w:val="left"/>
              <w:rPr>
                <w:rFonts w:ascii="Times New Roman" w:hAnsi="Times New Roman"/>
                <w:color w:val="000000"/>
                <w:sz w:val="18"/>
              </w:rPr>
            </w:pPr>
            <w:r>
              <w:rPr>
                <w:rFonts w:ascii="Times New Roman" w:hAnsi="Times New Roman"/>
                <w:color w:val="000000"/>
                <w:sz w:val="18"/>
              </w:rPr>
              <w:t>Total costs and expenses</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883"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584,047 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883"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550,714 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853"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1,156,982 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875"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1,102,899  </w:t>
            </w:r>
          </w:p>
        </w:tc>
      </w:tr>
      <w:tr>
        <w:trPr/>
        <w:tc>
          <w:tcPr>
            <w:tcW w:w="3894" w:type="dxa"/>
            <w:tcBorders/>
            <w:vAlign w:val="bottom"/>
          </w:tcPr>
          <w:p>
            <w:pPr>
              <w:pStyle w:val="TableContents"/>
              <w:bidi w:val="0"/>
              <w:spacing w:lineRule="auto" w:line="240" w:before="0" w:after="0"/>
              <w:ind w:left="240" w:right="0" w:hanging="0"/>
              <w:jc w:val="left"/>
              <w:rPr>
                <w:rFonts w:ascii="Times New Roman" w:hAnsi="Times New Roman"/>
                <w:color w:val="000000"/>
                <w:sz w:val="18"/>
              </w:rPr>
            </w:pPr>
            <w:r>
              <w:rPr>
                <w:rFonts w:ascii="Times New Roman" w:hAnsi="Times New Roman"/>
                <w:color w:val="000000"/>
                <w:sz w:val="18"/>
              </w:rPr>
              <w:t>Income from operations</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83"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89,204 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83"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68,084 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53"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173,782 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75"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162,842  </w:t>
            </w:r>
          </w:p>
        </w:tc>
      </w:tr>
      <w:tr>
        <w:trPr/>
        <w:tc>
          <w:tcPr>
            <w:tcW w:w="3894"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Interest expense</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vAlign w:val="bottom"/>
          </w:tcPr>
          <w:p>
            <w:pPr>
              <w:pStyle w:val="TableContents"/>
              <w:bidi w:val="0"/>
              <w:spacing w:lineRule="auto" w:line="240" w:before="0" w:after="0"/>
              <w:ind w:left="0" w:right="0" w:hanging="0"/>
              <w:jc w:val="left"/>
              <w:rPr/>
            </w:pPr>
            <w:r>
              <w:rPr/>
              <w:t> </w:t>
            </w:r>
          </w:p>
        </w:tc>
        <w:tc>
          <w:tcPr>
            <w:tcW w:w="883" w:type="dxa"/>
            <w:tcBorders/>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(1,789)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vAlign w:val="bottom"/>
          </w:tcPr>
          <w:p>
            <w:pPr>
              <w:pStyle w:val="TableContents"/>
              <w:bidi w:val="0"/>
              <w:spacing w:lineRule="auto" w:line="240" w:before="0" w:after="0"/>
              <w:ind w:left="0" w:right="0" w:hanging="0"/>
              <w:jc w:val="left"/>
              <w:rPr/>
            </w:pPr>
            <w:r>
              <w:rPr/>
              <w:t> </w:t>
            </w:r>
          </w:p>
        </w:tc>
        <w:tc>
          <w:tcPr>
            <w:tcW w:w="883" w:type="dxa"/>
            <w:tcBorders/>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(443)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vAlign w:val="bottom"/>
          </w:tcPr>
          <w:p>
            <w:pPr>
              <w:pStyle w:val="TableContents"/>
              <w:bidi w:val="0"/>
              <w:spacing w:lineRule="auto" w:line="240" w:before="0" w:after="0"/>
              <w:ind w:left="0" w:right="0" w:hanging="0"/>
              <w:jc w:val="left"/>
              <w:rPr/>
            </w:pPr>
            <w:r>
              <w:rPr/>
              <w:t> </w:t>
            </w:r>
          </w:p>
        </w:tc>
        <w:tc>
          <w:tcPr>
            <w:tcW w:w="853" w:type="dxa"/>
            <w:tcBorders/>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(2,301)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vAlign w:val="bottom"/>
          </w:tcPr>
          <w:p>
            <w:pPr>
              <w:pStyle w:val="TableContents"/>
              <w:bidi w:val="0"/>
              <w:spacing w:lineRule="auto" w:line="240" w:before="0" w:after="0"/>
              <w:ind w:left="0" w:right="0" w:hanging="0"/>
              <w:jc w:val="left"/>
              <w:rPr/>
            </w:pPr>
            <w:r>
              <w:rPr/>
              <w:t> </w:t>
            </w:r>
          </w:p>
        </w:tc>
        <w:tc>
          <w:tcPr>
            <w:tcW w:w="875" w:type="dxa"/>
            <w:tcBorders/>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(772) </w:t>
            </w:r>
          </w:p>
        </w:tc>
      </w:tr>
      <w:tr>
        <w:trPr/>
        <w:tc>
          <w:tcPr>
            <w:tcW w:w="3894"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Other income--net (bb)</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83"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3,914 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83"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3,474 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53"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8,688 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7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4,719  </w:t>
            </w:r>
          </w:p>
        </w:tc>
      </w:tr>
      <w:tr>
        <w:trPr/>
        <w:tc>
          <w:tcPr>
            <w:tcW w:w="3894" w:type="dxa"/>
            <w:tcBorders/>
            <w:vAlign w:val="bottom"/>
          </w:tcPr>
          <w:p>
            <w:pPr>
              <w:pStyle w:val="TableContents"/>
              <w:bidi w:val="0"/>
              <w:spacing w:lineRule="auto" w:line="240" w:before="0" w:after="0"/>
              <w:ind w:left="240" w:right="0" w:hanging="0"/>
              <w:jc w:val="left"/>
              <w:rPr>
                <w:rFonts w:ascii="Times New Roman" w:hAnsi="Times New Roman"/>
                <w:color w:val="000000"/>
                <w:sz w:val="18"/>
              </w:rPr>
            </w:pPr>
            <w:r>
              <w:rPr>
                <w:rFonts w:ascii="Times New Roman" w:hAnsi="Times New Roman"/>
                <w:color w:val="000000"/>
                <w:sz w:val="18"/>
              </w:rPr>
              <w:t>Income before income taxes</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83"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91,329 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83"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71,115 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53"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180,169 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75"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166,789  </w:t>
            </w:r>
          </w:p>
        </w:tc>
      </w:tr>
      <w:tr>
        <w:trPr/>
        <w:tc>
          <w:tcPr>
            <w:tcW w:w="3894"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Income taxes</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83"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(23,626)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83"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(18,622)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53"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(46,164)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7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(42,539) </w:t>
            </w:r>
          </w:p>
        </w:tc>
      </w:tr>
      <w:tr>
        <w:trPr/>
        <w:tc>
          <w:tcPr>
            <w:tcW w:w="3894"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Net income</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b/>
                <w:color w:val="000000"/>
                <w:sz w:val="18"/>
              </w:rPr>
            </w:pPr>
            <w:r>
              <w:rPr>
                <w:rFonts w:ascii="Times New Roman" w:hAnsi="Times New Roman"/>
                <w:b/>
                <w:color w:val="000000"/>
                <w:sz w:val="18"/>
              </w:rPr>
              <w:t>$</w:t>
            </w:r>
          </w:p>
        </w:tc>
        <w:tc>
          <w:tcPr>
            <w:tcW w:w="883"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67,703 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w:t>
            </w:r>
          </w:p>
        </w:tc>
        <w:tc>
          <w:tcPr>
            <w:tcW w:w="883"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52,493 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b/>
                <w:color w:val="000000"/>
                <w:sz w:val="18"/>
              </w:rPr>
            </w:pPr>
            <w:r>
              <w:rPr>
                <w:rFonts w:ascii="Times New Roman" w:hAnsi="Times New Roman"/>
                <w:b/>
                <w:color w:val="000000"/>
                <w:sz w:val="18"/>
              </w:rPr>
              <w:t>$</w:t>
            </w:r>
          </w:p>
        </w:tc>
        <w:tc>
          <w:tcPr>
            <w:tcW w:w="853"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134,005 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w:t>
            </w:r>
          </w:p>
        </w:tc>
        <w:tc>
          <w:tcPr>
            <w:tcW w:w="875"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124,250  </w:t>
            </w:r>
          </w:p>
        </w:tc>
      </w:tr>
      <w:tr>
        <w:trPr/>
        <w:tc>
          <w:tcPr>
            <w:tcW w:w="3894" w:type="dxa"/>
            <w:tcBorders/>
            <w:vAlign w:val="bottom"/>
          </w:tcPr>
          <w:p>
            <w:pPr>
              <w:pStyle w:val="TableContents"/>
              <w:bidi w:val="0"/>
              <w:spacing w:lineRule="auto" w:line="240" w:before="0" w:after="0"/>
              <w:ind w:left="0" w:right="0" w:hanging="0"/>
              <w:jc w:val="left"/>
              <w:rPr>
                <w:rFonts w:ascii="Times New Roman" w:hAnsi="Times New Roman"/>
                <w:b/>
                <w:color w:val="000000"/>
                <w:sz w:val="18"/>
              </w:rPr>
            </w:pPr>
            <w:r>
              <w:rPr>
                <w:rFonts w:ascii="Times New Roman" w:hAnsi="Times New Roman"/>
                <w:b/>
                <w:color w:val="000000"/>
                <w:sz w:val="18"/>
              </w:rPr>
              <w:t>Earnings Per Share</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8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8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5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75"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3894" w:type="dxa"/>
            <w:tcBorders/>
            <w:vAlign w:val="bottom"/>
          </w:tcPr>
          <w:p>
            <w:pPr>
              <w:pStyle w:val="TableContents"/>
              <w:bidi w:val="0"/>
              <w:spacing w:lineRule="auto" w:line="240" w:before="0" w:after="0"/>
              <w:ind w:left="240" w:right="0" w:hanging="0"/>
              <w:jc w:val="left"/>
              <w:rPr>
                <w:rFonts w:ascii="Times New Roman" w:hAnsi="Times New Roman"/>
                <w:color w:val="000000"/>
                <w:sz w:val="18"/>
              </w:rPr>
            </w:pPr>
            <w:r>
              <w:rPr>
                <w:rFonts w:ascii="Times New Roman" w:hAnsi="Times New Roman"/>
                <w:color w:val="000000"/>
                <w:sz w:val="18"/>
              </w:rPr>
              <w:t>Net income</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b/>
                <w:color w:val="000000"/>
                <w:sz w:val="18"/>
              </w:rPr>
            </w:pPr>
            <w:r>
              <w:rPr>
                <w:rFonts w:ascii="Times New Roman" w:hAnsi="Times New Roman"/>
                <w:b/>
                <w:color w:val="000000"/>
                <w:sz w:val="18"/>
              </w:rPr>
              <w:t>$</w:t>
            </w:r>
          </w:p>
        </w:tc>
        <w:tc>
          <w:tcPr>
            <w:tcW w:w="883" w:type="dxa"/>
            <w:tcBorders>
              <w:bottom w:val="double" w:sz="5" w:space="0" w:color="000000"/>
            </w:tcBorders>
            <w:tcMar>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5.14 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w:t>
            </w:r>
          </w:p>
        </w:tc>
        <w:tc>
          <w:tcPr>
            <w:tcW w:w="883" w:type="dxa"/>
            <w:tcBorders>
              <w:bottom w:val="double" w:sz="5" w:space="0" w:color="000000"/>
            </w:tcBorders>
            <w:tcMar>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3.60 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b/>
                <w:color w:val="000000"/>
                <w:sz w:val="18"/>
              </w:rPr>
            </w:pPr>
            <w:r>
              <w:rPr>
                <w:rFonts w:ascii="Times New Roman" w:hAnsi="Times New Roman"/>
                <w:b/>
                <w:color w:val="000000"/>
                <w:sz w:val="18"/>
              </w:rPr>
              <w:t>$</w:t>
            </w:r>
          </w:p>
        </w:tc>
        <w:tc>
          <w:tcPr>
            <w:tcW w:w="853" w:type="dxa"/>
            <w:tcBorders>
              <w:bottom w:val="double" w:sz="5" w:space="0" w:color="000000"/>
            </w:tcBorders>
            <w:tcMar>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9.98 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w:t>
            </w:r>
          </w:p>
        </w:tc>
        <w:tc>
          <w:tcPr>
            <w:tcW w:w="875" w:type="dxa"/>
            <w:tcBorders>
              <w:bottom w:val="double" w:sz="5" w:space="0" w:color="000000"/>
            </w:tcBorders>
            <w:tcMar>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8.51  </w:t>
            </w:r>
          </w:p>
        </w:tc>
      </w:tr>
      <w:tr>
        <w:trPr/>
        <w:tc>
          <w:tcPr>
            <w:tcW w:w="3894" w:type="dxa"/>
            <w:tcBorders/>
            <w:vAlign w:val="bottom"/>
          </w:tcPr>
          <w:p>
            <w:pPr>
              <w:pStyle w:val="TableContents"/>
              <w:bidi w:val="0"/>
              <w:spacing w:lineRule="auto" w:line="240" w:before="0" w:after="0"/>
              <w:ind w:left="240" w:right="0" w:hanging="0"/>
              <w:jc w:val="left"/>
              <w:rPr>
                <w:rFonts w:ascii="Times New Roman" w:hAnsi="Times New Roman"/>
                <w:color w:val="000000"/>
                <w:sz w:val="18"/>
              </w:rPr>
            </w:pPr>
            <w:r>
              <w:rPr>
                <w:rFonts w:ascii="Times New Roman" w:hAnsi="Times New Roman"/>
                <w:color w:val="000000"/>
                <w:sz w:val="18"/>
              </w:rPr>
              <w:t>Average number of shares outstanding</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top w:val="double" w:sz="5"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883"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13,174 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top w:val="double" w:sz="5"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883"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14,591 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top w:val="double" w:sz="5"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853"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13,423 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top w:val="double" w:sz="5"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875"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14,606  </w:t>
            </w:r>
          </w:p>
        </w:tc>
      </w:tr>
      <w:tr>
        <w:trPr/>
        <w:tc>
          <w:tcPr>
            <w:tcW w:w="3894" w:type="dxa"/>
            <w:tcBorders/>
            <w:vAlign w:val="bottom"/>
          </w:tcPr>
          <w:p>
            <w:pPr>
              <w:pStyle w:val="TableContents"/>
              <w:bidi w:val="0"/>
              <w:spacing w:lineRule="auto" w:line="240" w:before="0" w:after="0"/>
              <w:ind w:left="0" w:right="0" w:hanging="0"/>
              <w:jc w:val="left"/>
              <w:rPr>
                <w:rFonts w:ascii="Times New Roman" w:hAnsi="Times New Roman"/>
                <w:b/>
                <w:color w:val="000000"/>
                <w:sz w:val="18"/>
              </w:rPr>
            </w:pPr>
            <w:r>
              <w:rPr>
                <w:rFonts w:ascii="Times New Roman" w:hAnsi="Times New Roman"/>
                <w:b/>
                <w:color w:val="000000"/>
                <w:sz w:val="18"/>
              </w:rPr>
              <w:t>Diluted Earnings Per Share</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8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8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5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75"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3894" w:type="dxa"/>
            <w:tcBorders/>
            <w:vAlign w:val="bottom"/>
          </w:tcPr>
          <w:p>
            <w:pPr>
              <w:pStyle w:val="TableContents"/>
              <w:bidi w:val="0"/>
              <w:spacing w:lineRule="auto" w:line="240" w:before="0" w:after="0"/>
              <w:ind w:left="240" w:right="0" w:hanging="0"/>
              <w:jc w:val="left"/>
              <w:rPr>
                <w:rFonts w:ascii="Times New Roman" w:hAnsi="Times New Roman"/>
                <w:color w:val="000000"/>
                <w:sz w:val="18"/>
              </w:rPr>
            </w:pPr>
            <w:r>
              <w:rPr>
                <w:rFonts w:ascii="Times New Roman" w:hAnsi="Times New Roman"/>
                <w:color w:val="000000"/>
                <w:sz w:val="18"/>
              </w:rPr>
              <w:t>Net income</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b/>
                <w:color w:val="000000"/>
                <w:sz w:val="18"/>
              </w:rPr>
            </w:pPr>
            <w:r>
              <w:rPr>
                <w:rFonts w:ascii="Times New Roman" w:hAnsi="Times New Roman"/>
                <w:b/>
                <w:color w:val="000000"/>
                <w:sz w:val="18"/>
              </w:rPr>
              <w:t>$</w:t>
            </w:r>
          </w:p>
        </w:tc>
        <w:tc>
          <w:tcPr>
            <w:tcW w:w="883" w:type="dxa"/>
            <w:tcBorders>
              <w:bottom w:val="double" w:sz="5" w:space="0" w:color="000000"/>
            </w:tcBorders>
            <w:tcMar>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5.13 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w:t>
            </w:r>
          </w:p>
        </w:tc>
        <w:tc>
          <w:tcPr>
            <w:tcW w:w="883" w:type="dxa"/>
            <w:tcBorders>
              <w:bottom w:val="double" w:sz="5" w:space="0" w:color="000000"/>
            </w:tcBorders>
            <w:tcMar>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3.57 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b/>
                <w:color w:val="000000"/>
                <w:sz w:val="18"/>
              </w:rPr>
            </w:pPr>
            <w:r>
              <w:rPr>
                <w:rFonts w:ascii="Times New Roman" w:hAnsi="Times New Roman"/>
                <w:b/>
                <w:color w:val="000000"/>
                <w:sz w:val="18"/>
              </w:rPr>
              <w:t>$</w:t>
            </w:r>
          </w:p>
        </w:tc>
        <w:tc>
          <w:tcPr>
            <w:tcW w:w="853" w:type="dxa"/>
            <w:tcBorders>
              <w:bottom w:val="double" w:sz="5" w:space="0" w:color="000000"/>
            </w:tcBorders>
            <w:tcMar>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9.97 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w:t>
            </w:r>
          </w:p>
        </w:tc>
        <w:tc>
          <w:tcPr>
            <w:tcW w:w="875" w:type="dxa"/>
            <w:tcBorders>
              <w:bottom w:val="double" w:sz="5" w:space="0" w:color="000000"/>
            </w:tcBorders>
            <w:tcMar>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8.43  </w:t>
            </w:r>
          </w:p>
        </w:tc>
      </w:tr>
      <w:tr>
        <w:trPr/>
        <w:tc>
          <w:tcPr>
            <w:tcW w:w="3894" w:type="dxa"/>
            <w:tcBorders/>
            <w:vAlign w:val="bottom"/>
          </w:tcPr>
          <w:p>
            <w:pPr>
              <w:pStyle w:val="TableContents"/>
              <w:bidi w:val="0"/>
              <w:spacing w:lineRule="auto" w:line="240" w:before="0" w:after="0"/>
              <w:ind w:left="240" w:right="0" w:hanging="0"/>
              <w:jc w:val="left"/>
              <w:rPr>
                <w:rFonts w:ascii="Times New Roman" w:hAnsi="Times New Roman"/>
                <w:color w:val="000000"/>
                <w:sz w:val="18"/>
              </w:rPr>
            </w:pPr>
            <w:r>
              <w:rPr>
                <w:rFonts w:ascii="Times New Roman" w:hAnsi="Times New Roman"/>
                <w:color w:val="000000"/>
                <w:sz w:val="18"/>
              </w:rPr>
              <w:t>Average number of shares outstanding</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top w:val="double" w:sz="5"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883"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13,199 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top w:val="double" w:sz="5"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883"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14,703 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top w:val="double" w:sz="5"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853"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13,442 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top w:val="double" w:sz="5"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875"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14,733  </w:t>
            </w:r>
          </w:p>
        </w:tc>
      </w:tr>
      <w:tr>
        <w:trPr/>
        <w:tc>
          <w:tcPr>
            <w:tcW w:w="3894"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cs="Times New Roman"/>
                <w:color w:val="000000"/>
                <w:szCs w:val="18"/>
              </w:rPr>
            </w:pPr>
            <w:r>
              <w:rPr>
                <w:rFonts w:cs="Times New Roman"/>
                <w:color w:val="000000"/>
                <w:szCs w:val="18"/>
              </w:rPr>
              <w:t>﻿</w:t>
            </w:r>
          </w:p>
        </w:tc>
        <w:tc>
          <w:tcPr>
            <w:tcW w:w="6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39" w:type="dxa"/>
            <w:tcBorders>
              <w:top w:val="double" w:sz="5"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883" w:type="dxa"/>
            <w:tcBorders>
              <w:top w:val="double" w:sz="5"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7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39" w:type="dxa"/>
            <w:tcBorders>
              <w:top w:val="double" w:sz="5"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883" w:type="dxa"/>
            <w:tcBorders>
              <w:top w:val="double" w:sz="5"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righ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5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75"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8145" w:type="dxa"/>
            <w:gridSpan w:val="13"/>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(aa)    Selling, general and administrative ("SG&amp;A") expenses comprise (in thousands):</w:t>
            </w:r>
          </w:p>
        </w:tc>
      </w:tr>
      <w:tr>
        <w:trPr/>
        <w:tc>
          <w:tcPr>
            <w:tcW w:w="3894" w:type="dxa"/>
            <w:tcBorders/>
            <w:vAlign w:val="bottom"/>
          </w:tcPr>
          <w:p>
            <w:pPr>
              <w:pStyle w:val="TableContents"/>
              <w:bidi w:val="0"/>
              <w:spacing w:lineRule="auto" w:line="240" w:before="0" w:after="0"/>
              <w:ind w:left="0" w:right="0" w:hanging="0"/>
              <w:jc w:val="left"/>
              <w:rPr>
                <w:rFonts w:cs="Times New Roman"/>
                <w:color w:val="000000"/>
                <w:szCs w:val="18"/>
              </w:rPr>
            </w:pPr>
            <w:r>
              <w:rPr>
                <w:rFonts w:cs="Times New Roman"/>
                <w:color w:val="000000"/>
                <w:szCs w:val="18"/>
              </w:rPr>
              <w:t>﻿</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vAlign w:val="bottom"/>
          </w:tcPr>
          <w:p>
            <w:pPr>
              <w:pStyle w:val="TableContents"/>
              <w:bidi w:val="0"/>
              <w:spacing w:lineRule="auto" w:line="240" w:before="0" w:after="0"/>
              <w:ind w:left="0" w:right="0" w:hanging="0"/>
              <w:jc w:val="left"/>
              <w:rPr/>
            </w:pPr>
            <w:r>
              <w:rPr/>
              <w:t> </w:t>
            </w:r>
          </w:p>
        </w:tc>
        <w:tc>
          <w:tcPr>
            <w:tcW w:w="883"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vAlign w:val="bottom"/>
          </w:tcPr>
          <w:p>
            <w:pPr>
              <w:pStyle w:val="TableContents"/>
              <w:bidi w:val="0"/>
              <w:spacing w:lineRule="auto" w:line="240" w:before="0" w:after="0"/>
              <w:ind w:left="0" w:right="0" w:hanging="0"/>
              <w:jc w:val="left"/>
              <w:rPr/>
            </w:pPr>
            <w:r>
              <w:rPr/>
              <w:t> </w:t>
            </w:r>
          </w:p>
        </w:tc>
        <w:tc>
          <w:tcPr>
            <w:tcW w:w="883"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vAlign w:val="bottom"/>
          </w:tcPr>
          <w:p>
            <w:pPr>
              <w:pStyle w:val="TableContents"/>
              <w:bidi w:val="0"/>
              <w:spacing w:lineRule="auto" w:line="240" w:before="0" w:after="0"/>
              <w:ind w:left="0" w:right="0" w:hanging="0"/>
              <w:jc w:val="left"/>
              <w:rPr/>
            </w:pPr>
            <w:r>
              <w:rPr/>
              <w:t> </w:t>
            </w:r>
          </w:p>
        </w:tc>
        <w:tc>
          <w:tcPr>
            <w:tcW w:w="853"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vAlign w:val="bottom"/>
          </w:tcPr>
          <w:p>
            <w:pPr>
              <w:pStyle w:val="TableContents"/>
              <w:bidi w:val="0"/>
              <w:spacing w:lineRule="auto" w:line="240" w:before="0" w:after="0"/>
              <w:ind w:left="0" w:right="0" w:hanging="0"/>
              <w:jc w:val="left"/>
              <w:rPr/>
            </w:pPr>
            <w:r>
              <w:rPr/>
              <w:t> </w:t>
            </w:r>
          </w:p>
        </w:tc>
        <w:tc>
          <w:tcPr>
            <w:tcW w:w="875" w:type="dxa"/>
            <w:tcBorders/>
            <w:vAlign w:val="bottom"/>
          </w:tcPr>
          <w:p>
            <w:pPr>
              <w:pStyle w:val="TableContents"/>
              <w:bidi w:val="0"/>
              <w:spacing w:lineRule="auto" w:line="240" w:before="0" w:after="0"/>
              <w:ind w:left="0" w:right="0" w:hanging="0"/>
              <w:jc w:val="left"/>
              <w:rPr/>
            </w:pPr>
            <w:r>
              <w:rPr/>
              <w:t> </w:t>
            </w:r>
          </w:p>
        </w:tc>
      </w:tr>
      <w:tr>
        <w:trPr/>
        <w:tc>
          <w:tcPr>
            <w:tcW w:w="3894" w:type="dxa"/>
            <w:tcBorders/>
            <w:vAlign w:val="bottom"/>
          </w:tcPr>
          <w:p>
            <w:pPr>
              <w:pStyle w:val="TableContents"/>
              <w:bidi w:val="0"/>
              <w:spacing w:lineRule="auto" w:line="240" w:before="0" w:after="0"/>
              <w:ind w:left="0" w:right="0" w:hanging="0"/>
              <w:jc w:val="left"/>
              <w:rPr>
                <w:rFonts w:cs="Times New Roman"/>
                <w:color w:val="000000"/>
                <w:szCs w:val="18"/>
              </w:rPr>
            </w:pPr>
            <w:r>
              <w:rPr>
                <w:rFonts w:cs="Times New Roman"/>
                <w:color w:val="000000"/>
                <w:szCs w:val="18"/>
              </w:rPr>
              <w:t>﻿</w:t>
            </w:r>
          </w:p>
        </w:tc>
        <w:tc>
          <w:tcPr>
            <w:tcW w:w="60" w:type="dxa"/>
            <w:tcBorders/>
            <w:vAlign w:val="bottom"/>
          </w:tcPr>
          <w:p>
            <w:pPr>
              <w:pStyle w:val="TableContents"/>
              <w:bidi w:val="0"/>
              <w:spacing w:lineRule="auto" w:line="240" w:before="0" w:after="0"/>
              <w:ind w:left="0" w:right="0" w:hanging="0"/>
              <w:jc w:val="left"/>
              <w:rPr/>
            </w:pPr>
            <w:r>
              <w:rPr/>
              <w:t> </w:t>
            </w:r>
          </w:p>
        </w:tc>
        <w:tc>
          <w:tcPr>
            <w:tcW w:w="2119" w:type="dxa"/>
            <w:gridSpan w:val="5"/>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Three Months Ended June 30,</w:t>
            </w:r>
          </w:p>
        </w:tc>
        <w:tc>
          <w:tcPr>
            <w:tcW w:w="60" w:type="dxa"/>
            <w:tcBorders/>
            <w:vAlign w:val="bottom"/>
          </w:tcPr>
          <w:p>
            <w:pPr>
              <w:pStyle w:val="TableContents"/>
              <w:bidi w:val="0"/>
              <w:spacing w:lineRule="auto" w:line="240" w:before="0" w:after="0"/>
              <w:ind w:left="0" w:right="0" w:hanging="0"/>
              <w:jc w:val="left"/>
              <w:rPr/>
            </w:pPr>
            <w:r>
              <w:rPr/>
              <w:t> </w:t>
            </w:r>
          </w:p>
        </w:tc>
        <w:tc>
          <w:tcPr>
            <w:tcW w:w="2012" w:type="dxa"/>
            <w:gridSpan w:val="5"/>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Six Months Ended June 30,</w:t>
            </w:r>
          </w:p>
        </w:tc>
      </w:tr>
      <w:tr>
        <w:trPr/>
        <w:tc>
          <w:tcPr>
            <w:tcW w:w="3894" w:type="dxa"/>
            <w:tcBorders/>
            <w:vAlign w:val="bottom"/>
          </w:tcPr>
          <w:p>
            <w:pPr>
              <w:pStyle w:val="TableContents"/>
              <w:bidi w:val="0"/>
              <w:spacing w:lineRule="auto" w:line="240" w:before="0" w:after="0"/>
              <w:ind w:left="0" w:right="0" w:hanging="0"/>
              <w:jc w:val="left"/>
              <w:rPr>
                <w:rFonts w:cs="Times New Roman"/>
                <w:color w:val="000000"/>
                <w:szCs w:val="18"/>
              </w:rPr>
            </w:pPr>
            <w:r>
              <w:rPr>
                <w:rFonts w:cs="Times New Roman"/>
                <w:color w:val="000000"/>
                <w:szCs w:val="18"/>
              </w:rPr>
              <w:t>﻿</w:t>
            </w:r>
          </w:p>
        </w:tc>
        <w:tc>
          <w:tcPr>
            <w:tcW w:w="60" w:type="dxa"/>
            <w:tcBorders/>
            <w:vAlign w:val="bottom"/>
          </w:tcPr>
          <w:p>
            <w:pPr>
              <w:pStyle w:val="TableContents"/>
              <w:bidi w:val="0"/>
              <w:spacing w:lineRule="auto" w:line="240" w:before="0" w:after="0"/>
              <w:ind w:left="0" w:right="0" w:hanging="0"/>
              <w:jc w:val="left"/>
              <w:rPr/>
            </w:pPr>
            <w:r>
              <w:rPr/>
              <w:t> </w:t>
            </w:r>
          </w:p>
        </w:tc>
        <w:tc>
          <w:tcPr>
            <w:tcW w:w="1022"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8"/>
              </w:rPr>
            </w:pPr>
            <w:r>
              <w:rPr>
                <w:rFonts w:ascii="Times New Roman" w:hAnsi="Times New Roman"/>
                <w:b/>
                <w:color w:val="000000"/>
                <w:sz w:val="18"/>
              </w:rPr>
              <w:t>2026</w:t>
            </w:r>
          </w:p>
        </w:tc>
        <w:tc>
          <w:tcPr>
            <w:tcW w:w="7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22"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2025</w:t>
            </w:r>
          </w:p>
        </w:tc>
        <w:tc>
          <w:tcPr>
            <w:tcW w:w="60" w:type="dxa"/>
            <w:tcBorders/>
            <w:vAlign w:val="bottom"/>
          </w:tcPr>
          <w:p>
            <w:pPr>
              <w:pStyle w:val="TableContents"/>
              <w:bidi w:val="0"/>
              <w:spacing w:lineRule="auto" w:line="240" w:before="0" w:after="0"/>
              <w:ind w:left="0" w:right="0" w:hanging="0"/>
              <w:jc w:val="left"/>
              <w:rPr/>
            </w:pPr>
            <w:r>
              <w:rPr/>
              <w:t> </w:t>
            </w:r>
          </w:p>
        </w:tc>
        <w:tc>
          <w:tcPr>
            <w:tcW w:w="965"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8"/>
              </w:rPr>
            </w:pPr>
            <w:r>
              <w:rPr>
                <w:rFonts w:ascii="Times New Roman" w:hAnsi="Times New Roman"/>
                <w:b/>
                <w:color w:val="000000"/>
                <w:sz w:val="18"/>
              </w:rPr>
              <w:t>2026</w:t>
            </w:r>
          </w:p>
        </w:tc>
        <w:tc>
          <w:tcPr>
            <w:tcW w:w="6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87"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2025</w:t>
            </w:r>
          </w:p>
        </w:tc>
      </w:tr>
      <w:tr>
        <w:trPr/>
        <w:tc>
          <w:tcPr>
            <w:tcW w:w="3894"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SG&amp;A expenses before long-term incentive compensation</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8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8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5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7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3894" w:type="dxa"/>
            <w:tcBorders/>
            <w:vAlign w:val="bottom"/>
          </w:tcPr>
          <w:p>
            <w:pPr>
              <w:pStyle w:val="TableContents"/>
              <w:bidi w:val="0"/>
              <w:spacing w:lineRule="auto" w:line="240" w:before="0" w:after="0"/>
              <w:ind w:left="120" w:right="0" w:hanging="0"/>
              <w:jc w:val="left"/>
              <w:rPr>
                <w:rFonts w:ascii="Times New Roman" w:hAnsi="Times New Roman"/>
                <w:color w:val="000000"/>
                <w:sz w:val="18"/>
              </w:rPr>
            </w:pPr>
            <w:r>
              <w:rPr>
                <w:rFonts w:ascii="Times New Roman" w:hAnsi="Times New Roman"/>
                <w:color w:val="000000"/>
                <w:sz w:val="18"/>
              </w:rPr>
              <w:t>and the impact of market value adjustments related to</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vAlign w:val="bottom"/>
          </w:tcPr>
          <w:p>
            <w:pPr>
              <w:pStyle w:val="TableContents"/>
              <w:bidi w:val="0"/>
              <w:spacing w:lineRule="auto" w:line="240" w:before="0" w:after="0"/>
              <w:ind w:left="0" w:right="0" w:hanging="0"/>
              <w:jc w:val="left"/>
              <w:rPr/>
            </w:pPr>
            <w:r>
              <w:rPr/>
              <w:t> </w:t>
            </w:r>
          </w:p>
        </w:tc>
        <w:tc>
          <w:tcPr>
            <w:tcW w:w="883"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vAlign w:val="bottom"/>
          </w:tcPr>
          <w:p>
            <w:pPr>
              <w:pStyle w:val="TableContents"/>
              <w:bidi w:val="0"/>
              <w:spacing w:lineRule="auto" w:line="240" w:before="0" w:after="0"/>
              <w:ind w:left="0" w:right="0" w:hanging="0"/>
              <w:jc w:val="left"/>
              <w:rPr/>
            </w:pPr>
            <w:r>
              <w:rPr/>
              <w:t> </w:t>
            </w:r>
          </w:p>
        </w:tc>
        <w:tc>
          <w:tcPr>
            <w:tcW w:w="883"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vAlign w:val="bottom"/>
          </w:tcPr>
          <w:p>
            <w:pPr>
              <w:pStyle w:val="TableContents"/>
              <w:bidi w:val="0"/>
              <w:spacing w:lineRule="auto" w:line="240" w:before="0" w:after="0"/>
              <w:ind w:left="0" w:right="0" w:hanging="0"/>
              <w:jc w:val="left"/>
              <w:rPr/>
            </w:pPr>
            <w:r>
              <w:rPr/>
              <w:t> </w:t>
            </w:r>
          </w:p>
        </w:tc>
        <w:tc>
          <w:tcPr>
            <w:tcW w:w="853"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vAlign w:val="bottom"/>
          </w:tcPr>
          <w:p>
            <w:pPr>
              <w:pStyle w:val="TableContents"/>
              <w:bidi w:val="0"/>
              <w:spacing w:lineRule="auto" w:line="240" w:before="0" w:after="0"/>
              <w:ind w:left="0" w:right="0" w:hanging="0"/>
              <w:jc w:val="left"/>
              <w:rPr/>
            </w:pPr>
            <w:r>
              <w:rPr/>
              <w:t> </w:t>
            </w:r>
          </w:p>
        </w:tc>
        <w:tc>
          <w:tcPr>
            <w:tcW w:w="875" w:type="dxa"/>
            <w:tcBorders/>
            <w:vAlign w:val="bottom"/>
          </w:tcPr>
          <w:p>
            <w:pPr>
              <w:pStyle w:val="TableContents"/>
              <w:bidi w:val="0"/>
              <w:spacing w:lineRule="auto" w:line="240" w:before="0" w:after="0"/>
              <w:ind w:left="0" w:right="0" w:hanging="0"/>
              <w:jc w:val="left"/>
              <w:rPr/>
            </w:pPr>
            <w:r>
              <w:rPr/>
              <w:t> </w:t>
            </w:r>
          </w:p>
        </w:tc>
      </w:tr>
      <w:tr>
        <w:trPr/>
        <w:tc>
          <w:tcPr>
            <w:tcW w:w="3894" w:type="dxa"/>
            <w:tcBorders/>
            <w:vAlign w:val="bottom"/>
          </w:tcPr>
          <w:p>
            <w:pPr>
              <w:pStyle w:val="TableContents"/>
              <w:bidi w:val="0"/>
              <w:spacing w:lineRule="auto" w:line="240" w:before="0" w:after="0"/>
              <w:ind w:left="120" w:right="0" w:hanging="0"/>
              <w:jc w:val="left"/>
              <w:rPr>
                <w:rFonts w:ascii="Times New Roman" w:hAnsi="Times New Roman"/>
                <w:color w:val="000000"/>
                <w:sz w:val="18"/>
              </w:rPr>
            </w:pPr>
            <w:r>
              <w:rPr>
                <w:rFonts w:ascii="Times New Roman" w:hAnsi="Times New Roman"/>
                <w:color w:val="000000"/>
                <w:sz w:val="18"/>
              </w:rPr>
              <w:t>deferred compensation plans</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vAlign w:val="bottom"/>
          </w:tcPr>
          <w:p>
            <w:pPr>
              <w:pStyle w:val="TableContents"/>
              <w:bidi w:val="0"/>
              <w:spacing w:lineRule="auto" w:line="240" w:before="0" w:after="0"/>
              <w:ind w:left="0" w:right="0" w:hanging="0"/>
              <w:jc w:val="left"/>
              <w:rPr>
                <w:rFonts w:ascii="Times New Roman" w:hAnsi="Times New Roman"/>
                <w:b/>
                <w:color w:val="000000"/>
                <w:sz w:val="18"/>
              </w:rPr>
            </w:pPr>
            <w:r>
              <w:rPr>
                <w:rFonts w:ascii="Times New Roman" w:hAnsi="Times New Roman"/>
                <w:b/>
                <w:color w:val="000000"/>
                <w:sz w:val="18"/>
              </w:rPr>
              <w:t>$</w:t>
            </w:r>
          </w:p>
        </w:tc>
        <w:tc>
          <w:tcPr>
            <w:tcW w:w="883" w:type="dxa"/>
            <w:tcBorders/>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109,256 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w:t>
            </w:r>
          </w:p>
        </w:tc>
        <w:tc>
          <w:tcPr>
            <w:tcW w:w="883" w:type="dxa"/>
            <w:tcBorders/>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98,552 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vAlign w:val="bottom"/>
          </w:tcPr>
          <w:p>
            <w:pPr>
              <w:pStyle w:val="TableContents"/>
              <w:bidi w:val="0"/>
              <w:spacing w:lineRule="auto" w:line="240" w:before="0" w:after="0"/>
              <w:ind w:left="0" w:right="0" w:hanging="0"/>
              <w:jc w:val="left"/>
              <w:rPr>
                <w:rFonts w:ascii="Times New Roman" w:hAnsi="Times New Roman"/>
                <w:b/>
                <w:color w:val="000000"/>
                <w:sz w:val="18"/>
              </w:rPr>
            </w:pPr>
            <w:r>
              <w:rPr>
                <w:rFonts w:ascii="Times New Roman" w:hAnsi="Times New Roman"/>
                <w:b/>
                <w:color w:val="000000"/>
                <w:sz w:val="18"/>
              </w:rPr>
              <w:t>$</w:t>
            </w:r>
          </w:p>
        </w:tc>
        <w:tc>
          <w:tcPr>
            <w:tcW w:w="853" w:type="dxa"/>
            <w:tcBorders/>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218,187 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w:t>
            </w:r>
          </w:p>
        </w:tc>
        <w:tc>
          <w:tcPr>
            <w:tcW w:w="875" w:type="dxa"/>
            <w:tcBorders/>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202,312  </w:t>
            </w:r>
          </w:p>
        </w:tc>
      </w:tr>
      <w:tr>
        <w:trPr/>
        <w:tc>
          <w:tcPr>
            <w:tcW w:w="3894"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Market value adjustments related to deferred</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vAlign w:val="bottom"/>
          </w:tcPr>
          <w:p>
            <w:pPr>
              <w:pStyle w:val="TableContents"/>
              <w:bidi w:val="0"/>
              <w:spacing w:lineRule="auto" w:line="240" w:before="0" w:after="0"/>
              <w:ind w:left="0" w:right="0" w:hanging="0"/>
              <w:jc w:val="left"/>
              <w:rPr/>
            </w:pPr>
            <w:r>
              <w:rPr/>
              <w:t> </w:t>
            </w:r>
          </w:p>
        </w:tc>
        <w:tc>
          <w:tcPr>
            <w:tcW w:w="883"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vAlign w:val="bottom"/>
          </w:tcPr>
          <w:p>
            <w:pPr>
              <w:pStyle w:val="TableContents"/>
              <w:bidi w:val="0"/>
              <w:spacing w:lineRule="auto" w:line="240" w:before="0" w:after="0"/>
              <w:ind w:left="0" w:right="0" w:hanging="0"/>
              <w:jc w:val="left"/>
              <w:rPr/>
            </w:pPr>
            <w:r>
              <w:rPr/>
              <w:t> </w:t>
            </w:r>
          </w:p>
        </w:tc>
        <w:tc>
          <w:tcPr>
            <w:tcW w:w="883"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vAlign w:val="bottom"/>
          </w:tcPr>
          <w:p>
            <w:pPr>
              <w:pStyle w:val="TableContents"/>
              <w:bidi w:val="0"/>
              <w:spacing w:lineRule="auto" w:line="240" w:before="0" w:after="0"/>
              <w:ind w:left="0" w:right="0" w:hanging="0"/>
              <w:jc w:val="left"/>
              <w:rPr/>
            </w:pPr>
            <w:r>
              <w:rPr/>
              <w:t> </w:t>
            </w:r>
          </w:p>
        </w:tc>
        <w:tc>
          <w:tcPr>
            <w:tcW w:w="853"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vAlign w:val="bottom"/>
          </w:tcPr>
          <w:p>
            <w:pPr>
              <w:pStyle w:val="TableContents"/>
              <w:bidi w:val="0"/>
              <w:spacing w:lineRule="auto" w:line="240" w:before="0" w:after="0"/>
              <w:ind w:left="0" w:right="0" w:hanging="0"/>
              <w:jc w:val="left"/>
              <w:rPr/>
            </w:pPr>
            <w:r>
              <w:rPr/>
              <w:t> </w:t>
            </w:r>
          </w:p>
        </w:tc>
        <w:tc>
          <w:tcPr>
            <w:tcW w:w="875" w:type="dxa"/>
            <w:tcBorders/>
            <w:vAlign w:val="bottom"/>
          </w:tcPr>
          <w:p>
            <w:pPr>
              <w:pStyle w:val="TableContents"/>
              <w:bidi w:val="0"/>
              <w:spacing w:lineRule="auto" w:line="240" w:before="0" w:after="0"/>
              <w:ind w:left="0" w:right="0" w:hanging="0"/>
              <w:jc w:val="left"/>
              <w:rPr/>
            </w:pPr>
            <w:r>
              <w:rPr/>
              <w:t> </w:t>
            </w:r>
          </w:p>
        </w:tc>
      </w:tr>
      <w:tr>
        <w:trPr/>
        <w:tc>
          <w:tcPr>
            <w:tcW w:w="3894" w:type="dxa"/>
            <w:tcBorders/>
            <w:vAlign w:val="bottom"/>
          </w:tcPr>
          <w:p>
            <w:pPr>
              <w:pStyle w:val="TableContents"/>
              <w:bidi w:val="0"/>
              <w:spacing w:lineRule="auto" w:line="240" w:before="0" w:after="0"/>
              <w:ind w:left="120" w:right="0" w:hanging="0"/>
              <w:jc w:val="left"/>
              <w:rPr>
                <w:rFonts w:ascii="Times New Roman" w:hAnsi="Times New Roman"/>
                <w:color w:val="000000"/>
                <w:sz w:val="18"/>
              </w:rPr>
            </w:pPr>
            <w:r>
              <w:rPr>
                <w:rFonts w:ascii="Times New Roman" w:hAnsi="Times New Roman"/>
                <w:color w:val="000000"/>
                <w:sz w:val="18"/>
              </w:rPr>
              <w:t>compensation trusts</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vAlign w:val="bottom"/>
          </w:tcPr>
          <w:p>
            <w:pPr>
              <w:pStyle w:val="TableContents"/>
              <w:bidi w:val="0"/>
              <w:spacing w:lineRule="auto" w:line="240" w:before="0" w:after="0"/>
              <w:ind w:left="0" w:right="0" w:hanging="0"/>
              <w:jc w:val="left"/>
              <w:rPr/>
            </w:pPr>
            <w:r>
              <w:rPr/>
              <w:t> </w:t>
            </w:r>
          </w:p>
        </w:tc>
        <w:tc>
          <w:tcPr>
            <w:tcW w:w="883" w:type="dxa"/>
            <w:tcBorders/>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3,699 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vAlign w:val="bottom"/>
          </w:tcPr>
          <w:p>
            <w:pPr>
              <w:pStyle w:val="TableContents"/>
              <w:bidi w:val="0"/>
              <w:spacing w:lineRule="auto" w:line="240" w:before="0" w:after="0"/>
              <w:ind w:left="0" w:right="0" w:hanging="0"/>
              <w:jc w:val="left"/>
              <w:rPr/>
            </w:pPr>
            <w:r>
              <w:rPr/>
              <w:t> </w:t>
            </w:r>
          </w:p>
        </w:tc>
        <w:tc>
          <w:tcPr>
            <w:tcW w:w="883" w:type="dxa"/>
            <w:tcBorders/>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918 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vAlign w:val="bottom"/>
          </w:tcPr>
          <w:p>
            <w:pPr>
              <w:pStyle w:val="TableContents"/>
              <w:bidi w:val="0"/>
              <w:spacing w:lineRule="auto" w:line="240" w:before="0" w:after="0"/>
              <w:ind w:left="0" w:right="0" w:hanging="0"/>
              <w:jc w:val="left"/>
              <w:rPr/>
            </w:pPr>
            <w:r>
              <w:rPr/>
              <w:t> </w:t>
            </w:r>
          </w:p>
        </w:tc>
        <w:tc>
          <w:tcPr>
            <w:tcW w:w="853" w:type="dxa"/>
            <w:tcBorders/>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7,584 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vAlign w:val="bottom"/>
          </w:tcPr>
          <w:p>
            <w:pPr>
              <w:pStyle w:val="TableContents"/>
              <w:bidi w:val="0"/>
              <w:spacing w:lineRule="auto" w:line="240" w:before="0" w:after="0"/>
              <w:ind w:left="0" w:right="0" w:hanging="0"/>
              <w:jc w:val="left"/>
              <w:rPr/>
            </w:pPr>
            <w:r>
              <w:rPr/>
              <w:t> </w:t>
            </w:r>
          </w:p>
        </w:tc>
        <w:tc>
          <w:tcPr>
            <w:tcW w:w="875" w:type="dxa"/>
            <w:tcBorders/>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88  </w:t>
            </w:r>
          </w:p>
        </w:tc>
      </w:tr>
      <w:tr>
        <w:trPr/>
        <w:tc>
          <w:tcPr>
            <w:tcW w:w="3894"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Long-term incentive compensation</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83"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2,248 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83"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853 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53"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3,753 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7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3,510  </w:t>
            </w:r>
          </w:p>
        </w:tc>
      </w:tr>
      <w:tr>
        <w:trPr/>
        <w:tc>
          <w:tcPr>
            <w:tcW w:w="3894" w:type="dxa"/>
            <w:tcBorders/>
            <w:vAlign w:val="bottom"/>
          </w:tcPr>
          <w:p>
            <w:pPr>
              <w:pStyle w:val="TableContents"/>
              <w:bidi w:val="0"/>
              <w:spacing w:lineRule="auto" w:line="240" w:before="0" w:after="0"/>
              <w:ind w:left="240" w:right="0" w:hanging="0"/>
              <w:jc w:val="left"/>
              <w:rPr>
                <w:rFonts w:ascii="Times New Roman" w:hAnsi="Times New Roman"/>
                <w:color w:val="000000"/>
                <w:sz w:val="18"/>
              </w:rPr>
            </w:pPr>
            <w:r>
              <w:rPr>
                <w:rFonts w:ascii="Times New Roman" w:hAnsi="Times New Roman"/>
                <w:color w:val="000000"/>
                <w:sz w:val="18"/>
              </w:rPr>
              <w:t>Total SG&amp;A expenses</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b/>
                <w:color w:val="000000"/>
                <w:sz w:val="18"/>
              </w:rPr>
            </w:pPr>
            <w:r>
              <w:rPr>
                <w:rFonts w:ascii="Times New Roman" w:hAnsi="Times New Roman"/>
                <w:b/>
                <w:color w:val="000000"/>
                <w:sz w:val="18"/>
              </w:rPr>
              <w:t>$</w:t>
            </w:r>
          </w:p>
        </w:tc>
        <w:tc>
          <w:tcPr>
            <w:tcW w:w="883"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115,203 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w:t>
            </w:r>
          </w:p>
        </w:tc>
        <w:tc>
          <w:tcPr>
            <w:tcW w:w="883"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100,323 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b/>
                <w:color w:val="000000"/>
                <w:sz w:val="18"/>
              </w:rPr>
            </w:pPr>
            <w:r>
              <w:rPr>
                <w:rFonts w:ascii="Times New Roman" w:hAnsi="Times New Roman"/>
                <w:b/>
                <w:color w:val="000000"/>
                <w:sz w:val="18"/>
              </w:rPr>
              <w:t>$</w:t>
            </w:r>
          </w:p>
        </w:tc>
        <w:tc>
          <w:tcPr>
            <w:tcW w:w="853"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229,524 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w:t>
            </w:r>
          </w:p>
        </w:tc>
        <w:tc>
          <w:tcPr>
            <w:tcW w:w="875"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205,910  </w:t>
            </w:r>
          </w:p>
        </w:tc>
      </w:tr>
      <w:tr>
        <w:trPr/>
        <w:tc>
          <w:tcPr>
            <w:tcW w:w="3894" w:type="dxa"/>
            <w:tcBorders/>
            <w:vAlign w:val="bottom"/>
          </w:tcPr>
          <w:p>
            <w:pPr>
              <w:pStyle w:val="TableContents"/>
              <w:bidi w:val="0"/>
              <w:spacing w:lineRule="auto" w:line="240" w:before="0" w:after="0"/>
              <w:ind w:left="0" w:right="0" w:hanging="0"/>
              <w:jc w:val="left"/>
              <w:rPr>
                <w:rFonts w:cs="Times New Roman"/>
                <w:color w:val="000000"/>
                <w:szCs w:val="18"/>
              </w:rPr>
            </w:pPr>
            <w:r>
              <w:rPr>
                <w:rFonts w:cs="Times New Roman"/>
                <w:color w:val="000000"/>
                <w:szCs w:val="18"/>
              </w:rPr>
              <w:t>﻿</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8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8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5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75"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6073" w:type="dxa"/>
            <w:gridSpan w:val="7"/>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(bb)    Other income--net comprises (in thousands):</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vAlign w:val="bottom"/>
          </w:tcPr>
          <w:p>
            <w:pPr>
              <w:pStyle w:val="TableContents"/>
              <w:bidi w:val="0"/>
              <w:spacing w:lineRule="auto" w:line="240" w:before="0" w:after="0"/>
              <w:ind w:left="0" w:right="0" w:hanging="0"/>
              <w:jc w:val="left"/>
              <w:rPr/>
            </w:pPr>
            <w:r>
              <w:rPr/>
              <w:t> </w:t>
            </w:r>
          </w:p>
        </w:tc>
        <w:tc>
          <w:tcPr>
            <w:tcW w:w="853"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vAlign w:val="bottom"/>
          </w:tcPr>
          <w:p>
            <w:pPr>
              <w:pStyle w:val="TableContents"/>
              <w:bidi w:val="0"/>
              <w:spacing w:lineRule="auto" w:line="240" w:before="0" w:after="0"/>
              <w:ind w:left="0" w:right="0" w:hanging="0"/>
              <w:jc w:val="left"/>
              <w:rPr/>
            </w:pPr>
            <w:r>
              <w:rPr/>
              <w:t> </w:t>
            </w:r>
          </w:p>
        </w:tc>
        <w:tc>
          <w:tcPr>
            <w:tcW w:w="875" w:type="dxa"/>
            <w:tcBorders/>
            <w:vAlign w:val="bottom"/>
          </w:tcPr>
          <w:p>
            <w:pPr>
              <w:pStyle w:val="TableContents"/>
              <w:bidi w:val="0"/>
              <w:spacing w:lineRule="auto" w:line="240" w:before="0" w:after="0"/>
              <w:ind w:left="0" w:right="0" w:hanging="0"/>
              <w:jc w:val="left"/>
              <w:rPr/>
            </w:pPr>
            <w:r>
              <w:rPr/>
              <w:t> </w:t>
            </w:r>
          </w:p>
        </w:tc>
      </w:tr>
      <w:tr>
        <w:trPr/>
        <w:tc>
          <w:tcPr>
            <w:tcW w:w="3894" w:type="dxa"/>
            <w:tcBorders/>
            <w:vAlign w:val="bottom"/>
          </w:tcPr>
          <w:p>
            <w:pPr>
              <w:pStyle w:val="TableContents"/>
              <w:bidi w:val="0"/>
              <w:spacing w:lineRule="auto" w:line="240" w:before="0" w:after="0"/>
              <w:ind w:left="0" w:right="0" w:hanging="0"/>
              <w:jc w:val="left"/>
              <w:rPr>
                <w:rFonts w:cs="Times New Roman"/>
                <w:color w:val="000000"/>
                <w:szCs w:val="18"/>
              </w:rPr>
            </w:pPr>
            <w:r>
              <w:rPr>
                <w:rFonts w:cs="Times New Roman"/>
                <w:color w:val="000000"/>
                <w:szCs w:val="18"/>
              </w:rPr>
              <w:t>﻿</w:t>
            </w:r>
          </w:p>
        </w:tc>
        <w:tc>
          <w:tcPr>
            <w:tcW w:w="60" w:type="dxa"/>
            <w:tcBorders/>
            <w:vAlign w:val="bottom"/>
          </w:tcPr>
          <w:p>
            <w:pPr>
              <w:pStyle w:val="TableContents"/>
              <w:bidi w:val="0"/>
              <w:spacing w:lineRule="auto" w:line="240" w:before="0" w:after="0"/>
              <w:ind w:left="0" w:right="0" w:hanging="0"/>
              <w:jc w:val="left"/>
              <w:rPr/>
            </w:pPr>
            <w:r>
              <w:rPr/>
              <w:t> </w:t>
            </w:r>
          </w:p>
        </w:tc>
        <w:tc>
          <w:tcPr>
            <w:tcW w:w="2119" w:type="dxa"/>
            <w:gridSpan w:val="5"/>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Three Months Ended June 30,</w:t>
            </w:r>
          </w:p>
        </w:tc>
        <w:tc>
          <w:tcPr>
            <w:tcW w:w="60" w:type="dxa"/>
            <w:tcBorders/>
            <w:vAlign w:val="bottom"/>
          </w:tcPr>
          <w:p>
            <w:pPr>
              <w:pStyle w:val="TableContents"/>
              <w:bidi w:val="0"/>
              <w:spacing w:lineRule="auto" w:line="240" w:before="0" w:after="0"/>
              <w:ind w:left="0" w:right="0" w:hanging="0"/>
              <w:jc w:val="left"/>
              <w:rPr/>
            </w:pPr>
            <w:r>
              <w:rPr/>
              <w:t> </w:t>
            </w:r>
          </w:p>
        </w:tc>
        <w:tc>
          <w:tcPr>
            <w:tcW w:w="2012" w:type="dxa"/>
            <w:gridSpan w:val="5"/>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Six Months Ended June 30,</w:t>
            </w:r>
          </w:p>
        </w:tc>
      </w:tr>
      <w:tr>
        <w:trPr/>
        <w:tc>
          <w:tcPr>
            <w:tcW w:w="3894" w:type="dxa"/>
            <w:tcBorders/>
            <w:vAlign w:val="bottom"/>
          </w:tcPr>
          <w:p>
            <w:pPr>
              <w:pStyle w:val="TableContents"/>
              <w:bidi w:val="0"/>
              <w:spacing w:lineRule="auto" w:line="240" w:before="0" w:after="0"/>
              <w:ind w:left="0" w:right="0" w:hanging="0"/>
              <w:jc w:val="left"/>
              <w:rPr>
                <w:rFonts w:cs="Times New Roman"/>
                <w:color w:val="000000"/>
                <w:szCs w:val="18"/>
              </w:rPr>
            </w:pPr>
            <w:r>
              <w:rPr>
                <w:rFonts w:cs="Times New Roman"/>
                <w:color w:val="000000"/>
                <w:szCs w:val="18"/>
              </w:rPr>
              <w:t>﻿</w:t>
            </w:r>
          </w:p>
        </w:tc>
        <w:tc>
          <w:tcPr>
            <w:tcW w:w="60" w:type="dxa"/>
            <w:tcBorders/>
            <w:vAlign w:val="bottom"/>
          </w:tcPr>
          <w:p>
            <w:pPr>
              <w:pStyle w:val="TableContents"/>
              <w:bidi w:val="0"/>
              <w:spacing w:lineRule="auto" w:line="240" w:before="0" w:after="0"/>
              <w:ind w:left="0" w:right="0" w:hanging="0"/>
              <w:jc w:val="left"/>
              <w:rPr/>
            </w:pPr>
            <w:r>
              <w:rPr/>
              <w:t> </w:t>
            </w:r>
          </w:p>
        </w:tc>
        <w:tc>
          <w:tcPr>
            <w:tcW w:w="1022"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8"/>
              </w:rPr>
            </w:pPr>
            <w:r>
              <w:rPr>
                <w:rFonts w:ascii="Times New Roman" w:hAnsi="Times New Roman"/>
                <w:b/>
                <w:color w:val="000000"/>
                <w:sz w:val="18"/>
              </w:rPr>
              <w:t>2026</w:t>
            </w:r>
          </w:p>
        </w:tc>
        <w:tc>
          <w:tcPr>
            <w:tcW w:w="7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22"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2025</w:t>
            </w:r>
          </w:p>
        </w:tc>
        <w:tc>
          <w:tcPr>
            <w:tcW w:w="60" w:type="dxa"/>
            <w:tcBorders/>
            <w:vAlign w:val="bottom"/>
          </w:tcPr>
          <w:p>
            <w:pPr>
              <w:pStyle w:val="TableContents"/>
              <w:bidi w:val="0"/>
              <w:spacing w:lineRule="auto" w:line="240" w:before="0" w:after="0"/>
              <w:ind w:left="0" w:right="0" w:hanging="0"/>
              <w:jc w:val="left"/>
              <w:rPr/>
            </w:pPr>
            <w:r>
              <w:rPr/>
              <w:t> </w:t>
            </w:r>
          </w:p>
        </w:tc>
        <w:tc>
          <w:tcPr>
            <w:tcW w:w="965"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8"/>
              </w:rPr>
            </w:pPr>
            <w:r>
              <w:rPr>
                <w:rFonts w:ascii="Times New Roman" w:hAnsi="Times New Roman"/>
                <w:b/>
                <w:color w:val="000000"/>
                <w:sz w:val="18"/>
              </w:rPr>
              <w:t>2026</w:t>
            </w:r>
          </w:p>
        </w:tc>
        <w:tc>
          <w:tcPr>
            <w:tcW w:w="6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87"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2025</w:t>
            </w:r>
          </w:p>
        </w:tc>
      </w:tr>
      <w:tr>
        <w:trPr/>
        <w:tc>
          <w:tcPr>
            <w:tcW w:w="3894" w:type="dxa"/>
            <w:tcBorders/>
            <w:vAlign w:val="bottom"/>
          </w:tcPr>
          <w:p>
            <w:pPr>
              <w:pStyle w:val="TableContents"/>
              <w:bidi w:val="0"/>
              <w:spacing w:lineRule="auto" w:line="240" w:before="0" w:after="0"/>
              <w:ind w:left="0" w:right="0" w:hanging="0"/>
              <w:jc w:val="left"/>
              <w:rPr>
                <w:rFonts w:cs="Times New Roman"/>
                <w:color w:val="000000"/>
                <w:szCs w:val="18"/>
              </w:rPr>
            </w:pPr>
            <w:r>
              <w:rPr>
                <w:rFonts w:cs="Times New Roman"/>
                <w:color w:val="000000"/>
                <w:szCs w:val="18"/>
              </w:rPr>
              <w:t>﻿</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883" w:type="dxa"/>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883" w:type="dxa"/>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853" w:type="dxa"/>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875" w:type="dxa"/>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r>
      <w:tr>
        <w:trPr/>
        <w:tc>
          <w:tcPr>
            <w:tcW w:w="3894"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Market value adjustments related to deferred</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vAlign w:val="bottom"/>
          </w:tcPr>
          <w:p>
            <w:pPr>
              <w:pStyle w:val="TableContents"/>
              <w:bidi w:val="0"/>
              <w:spacing w:lineRule="auto" w:line="240" w:before="0" w:after="0"/>
              <w:ind w:left="0" w:right="0" w:hanging="0"/>
              <w:jc w:val="left"/>
              <w:rPr/>
            </w:pPr>
            <w:r>
              <w:rPr/>
              <w:t> </w:t>
            </w:r>
          </w:p>
        </w:tc>
        <w:tc>
          <w:tcPr>
            <w:tcW w:w="883"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vAlign w:val="bottom"/>
          </w:tcPr>
          <w:p>
            <w:pPr>
              <w:pStyle w:val="TableContents"/>
              <w:bidi w:val="0"/>
              <w:spacing w:lineRule="auto" w:line="240" w:before="0" w:after="0"/>
              <w:ind w:left="0" w:right="0" w:hanging="0"/>
              <w:jc w:val="left"/>
              <w:rPr/>
            </w:pPr>
            <w:r>
              <w:rPr/>
              <w:t> </w:t>
            </w:r>
          </w:p>
        </w:tc>
        <w:tc>
          <w:tcPr>
            <w:tcW w:w="883"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vAlign w:val="bottom"/>
          </w:tcPr>
          <w:p>
            <w:pPr>
              <w:pStyle w:val="TableContents"/>
              <w:bidi w:val="0"/>
              <w:spacing w:lineRule="auto" w:line="240" w:before="0" w:after="0"/>
              <w:ind w:left="0" w:right="0" w:hanging="0"/>
              <w:jc w:val="left"/>
              <w:rPr/>
            </w:pPr>
            <w:r>
              <w:rPr/>
              <w:t> </w:t>
            </w:r>
          </w:p>
        </w:tc>
        <w:tc>
          <w:tcPr>
            <w:tcW w:w="853"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vAlign w:val="bottom"/>
          </w:tcPr>
          <w:p>
            <w:pPr>
              <w:pStyle w:val="TableContents"/>
              <w:bidi w:val="0"/>
              <w:spacing w:lineRule="auto" w:line="240" w:before="0" w:after="0"/>
              <w:ind w:left="0" w:right="0" w:hanging="0"/>
              <w:jc w:val="left"/>
              <w:rPr/>
            </w:pPr>
            <w:r>
              <w:rPr/>
              <w:t> </w:t>
            </w:r>
          </w:p>
        </w:tc>
        <w:tc>
          <w:tcPr>
            <w:tcW w:w="875" w:type="dxa"/>
            <w:tcBorders/>
            <w:vAlign w:val="bottom"/>
          </w:tcPr>
          <w:p>
            <w:pPr>
              <w:pStyle w:val="TableContents"/>
              <w:bidi w:val="0"/>
              <w:spacing w:lineRule="auto" w:line="240" w:before="0" w:after="0"/>
              <w:ind w:left="0" w:right="0" w:hanging="0"/>
              <w:jc w:val="left"/>
              <w:rPr/>
            </w:pPr>
            <w:r>
              <w:rPr/>
              <w:t> </w:t>
            </w:r>
          </w:p>
        </w:tc>
      </w:tr>
      <w:tr>
        <w:trPr/>
        <w:tc>
          <w:tcPr>
            <w:tcW w:w="3894" w:type="dxa"/>
            <w:tcBorders/>
            <w:vAlign w:val="bottom"/>
          </w:tcPr>
          <w:p>
            <w:pPr>
              <w:pStyle w:val="TableContents"/>
              <w:bidi w:val="0"/>
              <w:spacing w:lineRule="auto" w:line="240" w:before="0" w:after="0"/>
              <w:ind w:left="120" w:right="0" w:hanging="0"/>
              <w:jc w:val="left"/>
              <w:rPr>
                <w:rFonts w:ascii="Times New Roman" w:hAnsi="Times New Roman"/>
                <w:color w:val="000000"/>
                <w:sz w:val="18"/>
              </w:rPr>
            </w:pPr>
            <w:r>
              <w:rPr>
                <w:rFonts w:ascii="Times New Roman" w:hAnsi="Times New Roman"/>
                <w:color w:val="000000"/>
                <w:sz w:val="18"/>
              </w:rPr>
              <w:t>compensation trusts</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vAlign w:val="bottom"/>
          </w:tcPr>
          <w:p>
            <w:pPr>
              <w:pStyle w:val="TableContents"/>
              <w:bidi w:val="0"/>
              <w:spacing w:lineRule="auto" w:line="240" w:before="0" w:after="0"/>
              <w:ind w:left="0" w:right="0" w:hanging="0"/>
              <w:jc w:val="left"/>
              <w:rPr>
                <w:rFonts w:ascii="Times New Roman" w:hAnsi="Times New Roman"/>
                <w:b/>
                <w:color w:val="000000"/>
                <w:sz w:val="18"/>
              </w:rPr>
            </w:pPr>
            <w:r>
              <w:rPr>
                <w:rFonts w:ascii="Times New Roman" w:hAnsi="Times New Roman"/>
                <w:b/>
                <w:color w:val="000000"/>
                <w:sz w:val="18"/>
              </w:rPr>
              <w:t>$</w:t>
            </w:r>
          </w:p>
        </w:tc>
        <w:tc>
          <w:tcPr>
            <w:tcW w:w="883" w:type="dxa"/>
            <w:tcBorders/>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3,699 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w:t>
            </w:r>
          </w:p>
        </w:tc>
        <w:tc>
          <w:tcPr>
            <w:tcW w:w="883" w:type="dxa"/>
            <w:tcBorders/>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918 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vAlign w:val="bottom"/>
          </w:tcPr>
          <w:p>
            <w:pPr>
              <w:pStyle w:val="TableContents"/>
              <w:bidi w:val="0"/>
              <w:spacing w:lineRule="auto" w:line="240" w:before="0" w:after="0"/>
              <w:ind w:left="0" w:right="0" w:hanging="0"/>
              <w:jc w:val="left"/>
              <w:rPr>
                <w:rFonts w:ascii="Times New Roman" w:hAnsi="Times New Roman"/>
                <w:b/>
                <w:color w:val="000000"/>
                <w:sz w:val="18"/>
              </w:rPr>
            </w:pPr>
            <w:r>
              <w:rPr>
                <w:rFonts w:ascii="Times New Roman" w:hAnsi="Times New Roman"/>
                <w:b/>
                <w:color w:val="000000"/>
                <w:sz w:val="18"/>
              </w:rPr>
              <w:t>$</w:t>
            </w:r>
          </w:p>
        </w:tc>
        <w:tc>
          <w:tcPr>
            <w:tcW w:w="853" w:type="dxa"/>
            <w:tcBorders/>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7,584 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w:t>
            </w:r>
          </w:p>
        </w:tc>
        <w:tc>
          <w:tcPr>
            <w:tcW w:w="875" w:type="dxa"/>
            <w:tcBorders/>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88  </w:t>
            </w:r>
          </w:p>
        </w:tc>
      </w:tr>
      <w:tr>
        <w:trPr/>
        <w:tc>
          <w:tcPr>
            <w:tcW w:w="3894"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Interest income</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vAlign w:val="bottom"/>
          </w:tcPr>
          <w:p>
            <w:pPr>
              <w:pStyle w:val="TableContents"/>
              <w:bidi w:val="0"/>
              <w:spacing w:lineRule="auto" w:line="240" w:before="0" w:after="0"/>
              <w:ind w:left="0" w:right="0" w:hanging="0"/>
              <w:jc w:val="left"/>
              <w:rPr/>
            </w:pPr>
            <w:r>
              <w:rPr/>
              <w:t> </w:t>
            </w:r>
          </w:p>
        </w:tc>
        <w:tc>
          <w:tcPr>
            <w:tcW w:w="883" w:type="dxa"/>
            <w:tcBorders/>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214 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vAlign w:val="bottom"/>
          </w:tcPr>
          <w:p>
            <w:pPr>
              <w:pStyle w:val="TableContents"/>
              <w:bidi w:val="0"/>
              <w:spacing w:lineRule="auto" w:line="240" w:before="0" w:after="0"/>
              <w:ind w:left="0" w:right="0" w:hanging="0"/>
              <w:jc w:val="left"/>
              <w:rPr/>
            </w:pPr>
            <w:r>
              <w:rPr/>
              <w:t> </w:t>
            </w:r>
          </w:p>
        </w:tc>
        <w:tc>
          <w:tcPr>
            <w:tcW w:w="883" w:type="dxa"/>
            <w:tcBorders/>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2,555 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vAlign w:val="bottom"/>
          </w:tcPr>
          <w:p>
            <w:pPr>
              <w:pStyle w:val="TableContents"/>
              <w:bidi w:val="0"/>
              <w:spacing w:lineRule="auto" w:line="240" w:before="0" w:after="0"/>
              <w:ind w:left="0" w:right="0" w:hanging="0"/>
              <w:jc w:val="left"/>
              <w:rPr/>
            </w:pPr>
            <w:r>
              <w:rPr/>
              <w:t> </w:t>
            </w:r>
          </w:p>
        </w:tc>
        <w:tc>
          <w:tcPr>
            <w:tcW w:w="853" w:type="dxa"/>
            <w:tcBorders/>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1,104 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vAlign w:val="bottom"/>
          </w:tcPr>
          <w:p>
            <w:pPr>
              <w:pStyle w:val="TableContents"/>
              <w:bidi w:val="0"/>
              <w:spacing w:lineRule="auto" w:line="240" w:before="0" w:after="0"/>
              <w:ind w:left="0" w:right="0" w:hanging="0"/>
              <w:jc w:val="left"/>
              <w:rPr/>
            </w:pPr>
            <w:r>
              <w:rPr/>
              <w:t> </w:t>
            </w:r>
          </w:p>
        </w:tc>
        <w:tc>
          <w:tcPr>
            <w:tcW w:w="875" w:type="dxa"/>
            <w:tcBorders/>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4,631  </w:t>
            </w:r>
          </w:p>
        </w:tc>
      </w:tr>
      <w:tr>
        <w:trPr/>
        <w:tc>
          <w:tcPr>
            <w:tcW w:w="3894"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Other</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83"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1 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83"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53"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b/>
                <w:color w:val="000000"/>
                <w:sz w:val="18"/>
              </w:rPr>
              <w:t>-</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75"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8"/>
              </w:rPr>
              <w:t>-</w:t>
            </w:r>
          </w:p>
        </w:tc>
      </w:tr>
      <w:tr>
        <w:trPr/>
        <w:tc>
          <w:tcPr>
            <w:tcW w:w="3894" w:type="dxa"/>
            <w:tcBorders/>
            <w:vAlign w:val="bottom"/>
          </w:tcPr>
          <w:p>
            <w:pPr>
              <w:pStyle w:val="TableContents"/>
              <w:bidi w:val="0"/>
              <w:spacing w:lineRule="auto" w:line="240" w:before="0" w:after="0"/>
              <w:ind w:left="240" w:right="0" w:hanging="0"/>
              <w:jc w:val="left"/>
              <w:rPr>
                <w:rFonts w:ascii="Times New Roman" w:hAnsi="Times New Roman"/>
                <w:color w:val="000000"/>
                <w:sz w:val="18"/>
              </w:rPr>
            </w:pPr>
            <w:r>
              <w:rPr>
                <w:rFonts w:ascii="Times New Roman" w:hAnsi="Times New Roman"/>
                <w:color w:val="000000"/>
                <w:sz w:val="18"/>
              </w:rPr>
              <w:t>Total other income--net</w:t>
            </w:r>
          </w:p>
        </w:tc>
        <w:tc>
          <w:tcPr>
            <w:tcW w:w="60" w:type="dxa"/>
            <w:tcBorders/>
            <w:vAlign w:val="bottom"/>
          </w:tcPr>
          <w:p>
            <w:pPr>
              <w:pStyle w:val="TableContents"/>
              <w:bidi w:val="0"/>
              <w:spacing w:lineRule="auto" w:line="240" w:before="0" w:after="0"/>
              <w:ind w:left="0" w:right="0" w:hanging="0"/>
              <w:jc w:val="left"/>
              <w:rPr/>
            </w:pPr>
            <w:r>
              <w:rPr/>
              <w:t> </w:t>
            </w:r>
          </w:p>
        </w:tc>
        <w:tc>
          <w:tcPr>
            <w:tcW w:w="139"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b/>
                <w:color w:val="000000"/>
                <w:sz w:val="18"/>
              </w:rPr>
            </w:pPr>
            <w:r>
              <w:rPr>
                <w:rFonts w:ascii="Times New Roman" w:hAnsi="Times New Roman"/>
                <w:b/>
                <w:color w:val="000000"/>
                <w:sz w:val="18"/>
              </w:rPr>
              <w:t>$</w:t>
            </w:r>
          </w:p>
        </w:tc>
        <w:tc>
          <w:tcPr>
            <w:tcW w:w="883"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3,914  </w:t>
            </w:r>
          </w:p>
        </w:tc>
        <w:tc>
          <w:tcPr>
            <w:tcW w:w="75" w:type="dxa"/>
            <w:tcBorders/>
            <w:vAlign w:val="bottom"/>
          </w:tcPr>
          <w:p>
            <w:pPr>
              <w:pStyle w:val="TableContents"/>
              <w:bidi w:val="0"/>
              <w:spacing w:lineRule="auto" w:line="240" w:before="0" w:after="0"/>
              <w:ind w:left="0" w:right="0" w:hanging="0"/>
              <w:jc w:val="left"/>
              <w:rPr/>
            </w:pPr>
            <w:r>
              <w:rPr/>
              <w:t> </w:t>
            </w:r>
          </w:p>
        </w:tc>
        <w:tc>
          <w:tcPr>
            <w:tcW w:w="139"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w:t>
            </w:r>
          </w:p>
        </w:tc>
        <w:tc>
          <w:tcPr>
            <w:tcW w:w="883"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3,474 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b/>
                <w:color w:val="000000"/>
                <w:sz w:val="18"/>
              </w:rPr>
            </w:pPr>
            <w:r>
              <w:rPr>
                <w:rFonts w:ascii="Times New Roman" w:hAnsi="Times New Roman"/>
                <w:b/>
                <w:color w:val="000000"/>
                <w:sz w:val="18"/>
              </w:rPr>
              <w:t>$</w:t>
            </w:r>
          </w:p>
        </w:tc>
        <w:tc>
          <w:tcPr>
            <w:tcW w:w="853"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8,688  </w:t>
            </w:r>
          </w:p>
        </w:tc>
        <w:tc>
          <w:tcPr>
            <w:tcW w:w="60" w:type="dxa"/>
            <w:tcBorders/>
            <w:vAlign w:val="bottom"/>
          </w:tcPr>
          <w:p>
            <w:pPr>
              <w:pStyle w:val="TableContents"/>
              <w:bidi w:val="0"/>
              <w:spacing w:lineRule="auto" w:line="240" w:before="0" w:after="0"/>
              <w:ind w:left="0" w:right="0" w:hanging="0"/>
              <w:jc w:val="left"/>
              <w:rPr/>
            </w:pPr>
            <w:r>
              <w:rPr/>
              <w:t> </w:t>
            </w:r>
          </w:p>
        </w:tc>
        <w:tc>
          <w:tcPr>
            <w:tcW w:w="112"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w:t>
            </w:r>
          </w:p>
        </w:tc>
        <w:tc>
          <w:tcPr>
            <w:tcW w:w="875"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4,719  </w:t>
            </w:r>
          </w:p>
        </w:tc>
      </w:tr>
    </w:tbl>
    <w:p>
      <w:pPr>
        <w:pStyle w:val="TextBody"/>
        <w:bidi w:val="0"/>
        <w:spacing w:lineRule="auto" w:line="240" w:before="0" w:after="0"/>
        <w:ind w:left="720" w:right="1340" w:hanging="0"/>
        <w:jc w:val="left"/>
        <w:rPr>
          <w:rFonts w:cs="Times New Roman"/>
          <w:szCs w:val="24"/>
        </w:rPr>
      </w:pPr>
      <w:r>
        <w:rPr>
          <w:rFonts w:cs="Times New Roman"/>
          <w:szCs w:val="24"/>
        </w:rPr>
        <w:t xml:space="preserve">﻿ </w:t>
      </w:r>
    </w:p>
    <w:p>
      <w:pPr>
        <w:pStyle w:val="HorizontalLine"/>
        <w:pBdr>
          <w:bottom w:val="double" w:sz="6" w:space="0" w:color="808080"/>
        </w:pBdr>
        <w:bidi w:val="0"/>
        <w:ind w:left="720" w:right="1340" w:hanging="0"/>
        <w:jc w:val="left"/>
        <w:rPr/>
      </w:pPr>
      <w:r>
        <w:rPr/>
      </w:r>
    </w:p>
    <w:p>
      <w:pPr>
        <w:pStyle w:val="TextBody"/>
        <w:bidi w:val="0"/>
        <w:ind w:left="720" w:right="1340" w:hanging="0"/>
        <w:jc w:val="left"/>
        <w:rPr/>
      </w:pPr>
      <w:r>
        <w:rPr/>
        <w:t> </w:t>
      </w:r>
      <w:r>
        <w:br w:type="page"/>
      </w:r>
    </w:p>
    <w:p>
      <w:pPr>
        <w:pStyle w:val="TextBody"/>
        <w:bidi w:val="0"/>
        <w:spacing w:lineRule="auto" w:line="427" w:before="0" w:after="0"/>
        <w:ind w:left="720" w:right="1340" w:hanging="0"/>
        <w:jc w:val="left"/>
        <w:rPr>
          <w:rFonts w:cs="Times New Roman"/>
          <w:szCs w:val="2"/>
        </w:rPr>
      </w:pPr>
      <w:r>
        <w:rPr>
          <w:rFonts w:cs="Times New Roman"/>
          <w:szCs w:val="2"/>
        </w:rPr>
        <w:t xml:space="preserve">﻿ </w:t>
      </w:r>
    </w:p>
    <w:tbl>
      <w:tblPr>
        <w:tblW w:w="7615" w:type="dxa"/>
        <w:jc w:val="left"/>
        <w:tblInd w:w="720" w:type="dxa"/>
        <w:tblLayout w:type="fixed"/>
        <w:tblCellMar>
          <w:top w:w="0" w:type="dxa"/>
          <w:left w:w="0" w:type="dxa"/>
          <w:bottom w:w="0" w:type="dxa"/>
          <w:right w:w="0" w:type="dxa"/>
        </w:tblCellMar>
      </w:tblPr>
      <w:tblGrid>
        <w:gridCol w:w="5210"/>
        <w:gridCol w:w="60"/>
        <w:gridCol w:w="125"/>
        <w:gridCol w:w="1010"/>
        <w:gridCol w:w="60"/>
        <w:gridCol w:w="125"/>
        <w:gridCol w:w="1025"/>
      </w:tblGrid>
      <w:tr>
        <w:trPr/>
        <w:tc>
          <w:tcPr>
            <w:tcW w:w="5210"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lineRule="auto" w:line="240" w:before="0" w:after="0"/>
              <w:ind w:left="0" w:right="0" w:hanging="0"/>
              <w:jc w:val="left"/>
              <w:rPr/>
            </w:pPr>
            <w:r>
              <w:rPr/>
              <w:t> </w:t>
            </w:r>
          </w:p>
        </w:tc>
      </w:tr>
      <w:tr>
        <w:trPr/>
        <w:tc>
          <w:tcPr>
            <w:tcW w:w="7615" w:type="dxa"/>
            <w:gridSpan w:val="7"/>
            <w:tcBorders/>
            <w:vAlign w:val="bottom"/>
          </w:tcPr>
          <w:p>
            <w:pPr>
              <w:pStyle w:val="TableContents"/>
              <w:bidi w:val="0"/>
              <w:spacing w:lineRule="auto" w:line="240" w:before="0" w:after="0"/>
              <w:ind w:left="0" w:right="0" w:hanging="0"/>
              <w:jc w:val="center"/>
              <w:rPr>
                <w:rFonts w:ascii="Times New Roman" w:hAnsi="Times New Roman"/>
                <w:b/>
                <w:color w:val="000000"/>
                <w:sz w:val="20"/>
              </w:rPr>
            </w:pPr>
            <w:r>
              <w:rPr>
                <w:rFonts w:ascii="Times New Roman" w:hAnsi="Times New Roman"/>
                <w:b/>
                <w:color w:val="000000"/>
                <w:sz w:val="20"/>
              </w:rPr>
              <w:t>CHEMED CORPORATION AND SUBSIDIARY COMPANIES</w:t>
            </w:r>
          </w:p>
        </w:tc>
      </w:tr>
      <w:tr>
        <w:trPr/>
        <w:tc>
          <w:tcPr>
            <w:tcW w:w="7615" w:type="dxa"/>
            <w:gridSpan w:val="7"/>
            <w:tcBorders/>
            <w:vAlign w:val="bottom"/>
          </w:tcPr>
          <w:p>
            <w:pPr>
              <w:pStyle w:val="TableContents"/>
              <w:bidi w:val="0"/>
              <w:spacing w:lineRule="auto" w:line="240" w:before="0" w:after="0"/>
              <w:ind w:left="0" w:right="0" w:hanging="0"/>
              <w:jc w:val="center"/>
              <w:rPr>
                <w:rFonts w:ascii="Times New Roman" w:hAnsi="Times New Roman"/>
                <w:b/>
                <w:color w:val="000000"/>
                <w:sz w:val="20"/>
              </w:rPr>
            </w:pPr>
            <w:r>
              <w:rPr>
                <w:rFonts w:ascii="Times New Roman" w:hAnsi="Times New Roman"/>
                <w:b/>
                <w:color w:val="000000"/>
                <w:sz w:val="20"/>
              </w:rPr>
              <w:t>CONSOLIDATED BALANCE SHEETS</w:t>
            </w:r>
          </w:p>
        </w:tc>
      </w:tr>
      <w:tr>
        <w:trPr/>
        <w:tc>
          <w:tcPr>
            <w:tcW w:w="7615" w:type="dxa"/>
            <w:gridSpan w:val="7"/>
            <w:tcBorders/>
            <w:vAlign w:val="bottom"/>
          </w:tcPr>
          <w:p>
            <w:pPr>
              <w:pStyle w:val="TableContents"/>
              <w:bidi w:val="0"/>
              <w:spacing w:lineRule="auto" w:line="240" w:before="0" w:after="0"/>
              <w:ind w:left="0" w:right="0" w:hanging="0"/>
              <w:jc w:val="center"/>
              <w:rPr>
                <w:rFonts w:ascii="Times New Roman" w:hAnsi="Times New Roman"/>
                <w:color w:val="000000"/>
                <w:sz w:val="20"/>
              </w:rPr>
            </w:pPr>
            <w:r>
              <w:rPr>
                <w:rFonts w:ascii="Times New Roman" w:hAnsi="Times New Roman"/>
                <w:color w:val="000000"/>
                <w:sz w:val="20"/>
              </w:rPr>
              <w:t>(in thousands, except per share data)(unaudited)</w:t>
            </w:r>
          </w:p>
        </w:tc>
      </w:tr>
      <w:tr>
        <w:trPr/>
        <w:tc>
          <w:tcPr>
            <w:tcW w:w="5210" w:type="dxa"/>
            <w:tcBorders/>
            <w:vAlign w:val="bottom"/>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lineRule="auto" w:line="240" w:before="0" w:after="0"/>
              <w:ind w:left="0" w:right="0" w:hanging="0"/>
              <w:jc w:val="left"/>
              <w:rPr/>
            </w:pPr>
            <w:r>
              <w:rPr/>
              <w:t> </w:t>
            </w:r>
          </w:p>
        </w:tc>
      </w:tr>
      <w:tr>
        <w:trPr/>
        <w:tc>
          <w:tcPr>
            <w:tcW w:w="5210" w:type="dxa"/>
            <w:tcBorders/>
            <w:vAlign w:val="bottom"/>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60" w:type="dxa"/>
            <w:tcBorders/>
            <w:vAlign w:val="bottom"/>
          </w:tcPr>
          <w:p>
            <w:pPr>
              <w:pStyle w:val="TableContents"/>
              <w:bidi w:val="0"/>
              <w:spacing w:lineRule="auto" w:line="240" w:before="0" w:after="0"/>
              <w:ind w:left="0" w:right="0" w:hanging="0"/>
              <w:jc w:val="left"/>
              <w:rPr/>
            </w:pPr>
            <w:r>
              <w:rPr/>
              <w:t> </w:t>
            </w:r>
          </w:p>
        </w:tc>
        <w:tc>
          <w:tcPr>
            <w:tcW w:w="2345" w:type="dxa"/>
            <w:gridSpan w:val="5"/>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color w:val="000000"/>
                <w:sz w:val="20"/>
              </w:rPr>
            </w:pPr>
            <w:r>
              <w:rPr>
                <w:rFonts w:ascii="Times New Roman" w:hAnsi="Times New Roman"/>
                <w:color w:val="000000"/>
                <w:sz w:val="20"/>
              </w:rPr>
              <w:t>June 30,</w:t>
            </w:r>
          </w:p>
        </w:tc>
      </w:tr>
      <w:tr>
        <w:trPr/>
        <w:tc>
          <w:tcPr>
            <w:tcW w:w="5210" w:type="dxa"/>
            <w:tcBorders/>
            <w:vAlign w:val="bottom"/>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60" w:type="dxa"/>
            <w:tcBorders/>
            <w:vAlign w:val="bottom"/>
          </w:tcPr>
          <w:p>
            <w:pPr>
              <w:pStyle w:val="TableContents"/>
              <w:bidi w:val="0"/>
              <w:spacing w:lineRule="auto" w:line="240" w:before="0" w:after="0"/>
              <w:ind w:left="0" w:right="0" w:hanging="0"/>
              <w:jc w:val="left"/>
              <w:rPr/>
            </w:pPr>
            <w:r>
              <w:rPr/>
              <w:t> </w:t>
            </w:r>
          </w:p>
        </w:tc>
        <w:tc>
          <w:tcPr>
            <w:tcW w:w="1135"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20"/>
              </w:rPr>
            </w:pPr>
            <w:r>
              <w:rPr>
                <w:rFonts w:ascii="Times New Roman" w:hAnsi="Times New Roman"/>
                <w:b/>
                <w:color w:val="000000"/>
                <w:sz w:val="20"/>
              </w:rPr>
              <w:t>2026</w:t>
            </w:r>
          </w:p>
        </w:tc>
        <w:tc>
          <w:tcPr>
            <w:tcW w:w="6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50"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color w:val="000000"/>
                <w:sz w:val="20"/>
              </w:rPr>
            </w:pPr>
            <w:r>
              <w:rPr>
                <w:rFonts w:ascii="Times New Roman" w:hAnsi="Times New Roman"/>
                <w:color w:val="000000"/>
                <w:sz w:val="20"/>
              </w:rPr>
              <w:t>2025</w:t>
            </w:r>
          </w:p>
        </w:tc>
      </w:tr>
      <w:tr>
        <w:trPr/>
        <w:tc>
          <w:tcPr>
            <w:tcW w:w="5210" w:type="dxa"/>
            <w:tcBorders/>
            <w:vAlign w:val="bottom"/>
          </w:tcPr>
          <w:p>
            <w:pPr>
              <w:pStyle w:val="TableContents"/>
              <w:bidi w:val="0"/>
              <w:spacing w:lineRule="auto" w:line="240" w:before="0" w:after="0"/>
              <w:ind w:left="0" w:right="0" w:hanging="0"/>
              <w:jc w:val="left"/>
              <w:rPr>
                <w:rFonts w:ascii="Times New Roman" w:hAnsi="Times New Roman"/>
                <w:b/>
                <w:color w:val="000000"/>
                <w:sz w:val="20"/>
              </w:rPr>
            </w:pPr>
            <w:r>
              <w:rPr>
                <w:rFonts w:ascii="Times New Roman" w:hAnsi="Times New Roman"/>
                <w:b/>
                <w:color w:val="000000"/>
                <w:sz w:val="20"/>
              </w:rPr>
              <w:t>Assets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1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2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Current assets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lineRule="auto" w:line="240" w:before="0" w:after="0"/>
              <w:ind w:left="0" w:right="0" w:hanging="0"/>
              <w:jc w:val="left"/>
              <w:rPr/>
            </w:pPr>
            <w:r>
              <w:rPr/>
              <w:t> </w:t>
            </w:r>
          </w:p>
        </w:tc>
      </w:tr>
      <w:tr>
        <w:trPr/>
        <w:tc>
          <w:tcPr>
            <w:tcW w:w="5210" w:type="dxa"/>
            <w:tcBorders/>
            <w:vAlign w:val="bottom"/>
          </w:tcPr>
          <w:p>
            <w:pPr>
              <w:pStyle w:val="TableContents"/>
              <w:bidi w:val="0"/>
              <w:spacing w:lineRule="auto" w:line="240" w:before="0" w:after="0"/>
              <w:ind w:left="480" w:right="0" w:hanging="0"/>
              <w:jc w:val="left"/>
              <w:rPr>
                <w:rFonts w:ascii="Times New Roman" w:hAnsi="Times New Roman"/>
                <w:color w:val="000000"/>
                <w:sz w:val="20"/>
              </w:rPr>
            </w:pPr>
            <w:r>
              <w:rPr>
                <w:rFonts w:ascii="Times New Roman" w:hAnsi="Times New Roman"/>
                <w:color w:val="000000"/>
                <w:sz w:val="20"/>
              </w:rPr>
              <w:t>Cash and cash equivalents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rFonts w:ascii="Times New Roman" w:hAnsi="Times New Roman"/>
                <w:b/>
                <w:color w:val="000000"/>
                <w:sz w:val="20"/>
              </w:rPr>
            </w:pPr>
            <w:r>
              <w:rPr>
                <w:rFonts w:ascii="Times New Roman" w:hAnsi="Times New Roman"/>
                <w:b/>
                <w:color w:val="000000"/>
                <w:sz w:val="20"/>
              </w:rPr>
              <w:t>$</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40,222 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249,904  </w:t>
            </w:r>
          </w:p>
        </w:tc>
      </w:tr>
      <w:tr>
        <w:trPr/>
        <w:tc>
          <w:tcPr>
            <w:tcW w:w="5210" w:type="dxa"/>
            <w:tcBorders/>
            <w:vAlign w:val="bottom"/>
          </w:tcPr>
          <w:p>
            <w:pPr>
              <w:pStyle w:val="TableContents"/>
              <w:bidi w:val="0"/>
              <w:spacing w:lineRule="auto" w:line="240" w:before="0" w:after="0"/>
              <w:ind w:left="480" w:right="0" w:hanging="0"/>
              <w:jc w:val="left"/>
              <w:rPr>
                <w:rFonts w:ascii="Times New Roman" w:hAnsi="Times New Roman"/>
                <w:color w:val="000000"/>
                <w:sz w:val="20"/>
              </w:rPr>
            </w:pPr>
            <w:r>
              <w:rPr>
                <w:rFonts w:ascii="Times New Roman" w:hAnsi="Times New Roman"/>
                <w:color w:val="000000"/>
                <w:sz w:val="20"/>
              </w:rPr>
              <w:t>Accounts receivable less allowances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188,634 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184,880  </w:t>
            </w:r>
          </w:p>
        </w:tc>
      </w:tr>
      <w:tr>
        <w:trPr/>
        <w:tc>
          <w:tcPr>
            <w:tcW w:w="5210" w:type="dxa"/>
            <w:tcBorders/>
            <w:vAlign w:val="bottom"/>
          </w:tcPr>
          <w:p>
            <w:pPr>
              <w:pStyle w:val="TableContents"/>
              <w:bidi w:val="0"/>
              <w:spacing w:lineRule="auto" w:line="240" w:before="0" w:after="0"/>
              <w:ind w:left="480" w:right="0" w:hanging="0"/>
              <w:jc w:val="left"/>
              <w:rPr>
                <w:rFonts w:ascii="Times New Roman" w:hAnsi="Times New Roman"/>
                <w:color w:val="000000"/>
                <w:sz w:val="20"/>
              </w:rPr>
            </w:pPr>
            <w:r>
              <w:rPr>
                <w:rFonts w:ascii="Times New Roman" w:hAnsi="Times New Roman"/>
                <w:color w:val="000000"/>
                <w:sz w:val="20"/>
              </w:rPr>
              <w:t>Inventories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7,630 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9,148  </w:t>
            </w:r>
          </w:p>
        </w:tc>
      </w:tr>
      <w:tr>
        <w:trPr/>
        <w:tc>
          <w:tcPr>
            <w:tcW w:w="5210" w:type="dxa"/>
            <w:tcBorders/>
            <w:vAlign w:val="bottom"/>
          </w:tcPr>
          <w:p>
            <w:pPr>
              <w:pStyle w:val="TableContents"/>
              <w:bidi w:val="0"/>
              <w:spacing w:lineRule="auto" w:line="240" w:before="0" w:after="0"/>
              <w:ind w:left="480" w:right="0" w:hanging="0"/>
              <w:jc w:val="left"/>
              <w:rPr>
                <w:rFonts w:ascii="Times New Roman" w:hAnsi="Times New Roman"/>
                <w:color w:val="000000"/>
                <w:sz w:val="20"/>
              </w:rPr>
            </w:pPr>
            <w:r>
              <w:rPr>
                <w:rFonts w:ascii="Times New Roman" w:hAnsi="Times New Roman"/>
                <w:color w:val="000000"/>
                <w:sz w:val="20"/>
              </w:rPr>
              <w:t>Prepaid income taxes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17,646 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14,239  </w:t>
            </w:r>
          </w:p>
        </w:tc>
      </w:tr>
      <w:tr>
        <w:trPr/>
        <w:tc>
          <w:tcPr>
            <w:tcW w:w="5210" w:type="dxa"/>
            <w:tcBorders/>
            <w:vAlign w:val="bottom"/>
          </w:tcPr>
          <w:p>
            <w:pPr>
              <w:pStyle w:val="TableContents"/>
              <w:bidi w:val="0"/>
              <w:spacing w:lineRule="auto" w:line="240" w:before="0" w:after="0"/>
              <w:ind w:left="480" w:right="0" w:hanging="0"/>
              <w:jc w:val="left"/>
              <w:rPr>
                <w:rFonts w:ascii="Times New Roman" w:hAnsi="Times New Roman"/>
                <w:color w:val="000000"/>
                <w:sz w:val="20"/>
              </w:rPr>
            </w:pPr>
            <w:r>
              <w:rPr>
                <w:rFonts w:ascii="Times New Roman" w:hAnsi="Times New Roman"/>
                <w:color w:val="000000"/>
                <w:sz w:val="20"/>
              </w:rPr>
              <w:t>Prepaid expenses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1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37,103 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2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33,206  </w:t>
            </w:r>
          </w:p>
        </w:tc>
      </w:tr>
      <w:tr>
        <w:trPr/>
        <w:tc>
          <w:tcPr>
            <w:tcW w:w="5210" w:type="dxa"/>
            <w:tcBorders/>
            <w:vAlign w:val="bottom"/>
          </w:tcPr>
          <w:p>
            <w:pPr>
              <w:pStyle w:val="TableContents"/>
              <w:bidi w:val="0"/>
              <w:spacing w:lineRule="auto" w:line="240" w:before="0" w:after="0"/>
              <w:ind w:left="840" w:right="0" w:hanging="0"/>
              <w:jc w:val="left"/>
              <w:rPr>
                <w:rFonts w:ascii="Times New Roman" w:hAnsi="Times New Roman"/>
                <w:color w:val="000000"/>
                <w:sz w:val="20"/>
              </w:rPr>
            </w:pPr>
            <w:r>
              <w:rPr>
                <w:rFonts w:ascii="Times New Roman" w:hAnsi="Times New Roman"/>
                <w:color w:val="000000"/>
                <w:sz w:val="20"/>
              </w:rPr>
              <w:t>Total current assets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10"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291,235 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25"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491,377  </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Investments of deferred compensation plans held in trust</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148,153 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129,560  </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Properties and equipment, at cost less accumulated depreciation</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208,499 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202,281  </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Lease right of use asset</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142,535 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131,948  </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Identifiable intangible assets less accumulated amortization</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78,601 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87,360  </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Goodwill</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699,398 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666,996  </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Other assets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1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11,164 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2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8,325  </w:t>
            </w:r>
          </w:p>
        </w:tc>
      </w:tr>
      <w:tr>
        <w:trPr/>
        <w:tc>
          <w:tcPr>
            <w:tcW w:w="5210" w:type="dxa"/>
            <w:tcBorders/>
            <w:vAlign w:val="bottom"/>
          </w:tcPr>
          <w:p>
            <w:pPr>
              <w:pStyle w:val="TableContents"/>
              <w:bidi w:val="0"/>
              <w:spacing w:lineRule="auto" w:line="240" w:before="0" w:after="0"/>
              <w:ind w:left="720" w:right="0" w:hanging="0"/>
              <w:jc w:val="left"/>
              <w:rPr>
                <w:rFonts w:ascii="Times New Roman" w:hAnsi="Times New Roman"/>
                <w:color w:val="000000"/>
                <w:sz w:val="20"/>
              </w:rPr>
            </w:pPr>
            <w:r>
              <w:rPr>
                <w:rFonts w:ascii="Times New Roman" w:hAnsi="Times New Roman"/>
                <w:color w:val="000000"/>
                <w:sz w:val="20"/>
              </w:rPr>
              <w:t>Total Assets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b/>
                <w:color w:val="000000"/>
                <w:sz w:val="20"/>
              </w:rPr>
            </w:pPr>
            <w:r>
              <w:rPr>
                <w:rFonts w:ascii="Times New Roman" w:hAnsi="Times New Roman"/>
                <w:b/>
                <w:color w:val="000000"/>
                <w:sz w:val="20"/>
              </w:rPr>
              <w:t>$</w:t>
            </w:r>
          </w:p>
        </w:tc>
        <w:tc>
          <w:tcPr>
            <w:tcW w:w="1010"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1,579,585 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25"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1,717,847  </w:t>
            </w:r>
          </w:p>
        </w:tc>
      </w:tr>
      <w:tr>
        <w:trPr/>
        <w:tc>
          <w:tcPr>
            <w:tcW w:w="5210" w:type="dxa"/>
            <w:tcBorders/>
            <w:vAlign w:val="bottom"/>
          </w:tcPr>
          <w:p>
            <w:pPr>
              <w:pStyle w:val="TableContents"/>
              <w:bidi w:val="0"/>
              <w:spacing w:lineRule="auto" w:line="240" w:before="0" w:after="0"/>
              <w:ind w:left="0" w:right="0" w:hanging="0"/>
              <w:jc w:val="left"/>
              <w:rPr>
                <w:rFonts w:ascii="Times New Roman" w:hAnsi="Times New Roman"/>
                <w:b/>
                <w:color w:val="000000"/>
                <w:sz w:val="20"/>
              </w:rPr>
            </w:pPr>
            <w:r>
              <w:rPr>
                <w:rFonts w:ascii="Times New Roman" w:hAnsi="Times New Roman"/>
                <w:b/>
                <w:color w:val="000000"/>
                <w:sz w:val="20"/>
              </w:rPr>
              <w:t>Liabilities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1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25"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Current liabilities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lineRule="auto" w:line="240" w:before="0" w:after="0"/>
              <w:ind w:left="0" w:right="0" w:hanging="0"/>
              <w:jc w:val="left"/>
              <w:rPr/>
            </w:pPr>
            <w:r>
              <w:rPr/>
              <w:t> </w:t>
            </w:r>
          </w:p>
        </w:tc>
      </w:tr>
      <w:tr>
        <w:trPr/>
        <w:tc>
          <w:tcPr>
            <w:tcW w:w="5210" w:type="dxa"/>
            <w:tcBorders/>
            <w:vAlign w:val="bottom"/>
          </w:tcPr>
          <w:p>
            <w:pPr>
              <w:pStyle w:val="TableContents"/>
              <w:bidi w:val="0"/>
              <w:spacing w:lineRule="auto" w:line="240" w:before="0" w:after="0"/>
              <w:ind w:left="480" w:right="0" w:hanging="0"/>
              <w:jc w:val="left"/>
              <w:rPr>
                <w:rFonts w:ascii="Times New Roman" w:hAnsi="Times New Roman"/>
                <w:color w:val="000000"/>
                <w:sz w:val="20"/>
              </w:rPr>
            </w:pPr>
            <w:r>
              <w:rPr>
                <w:rFonts w:ascii="Times New Roman" w:hAnsi="Times New Roman"/>
                <w:color w:val="000000"/>
                <w:sz w:val="20"/>
              </w:rPr>
              <w:t>Accounts payable</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rFonts w:ascii="Times New Roman" w:hAnsi="Times New Roman"/>
                <w:b/>
                <w:color w:val="000000"/>
                <w:sz w:val="20"/>
              </w:rPr>
            </w:pPr>
            <w:r>
              <w:rPr>
                <w:rFonts w:ascii="Times New Roman" w:hAnsi="Times New Roman"/>
                <w:b/>
                <w:color w:val="000000"/>
                <w:sz w:val="20"/>
              </w:rPr>
              <w:t>$</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84,713 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50,864  </w:t>
            </w:r>
          </w:p>
        </w:tc>
      </w:tr>
      <w:tr>
        <w:trPr/>
        <w:tc>
          <w:tcPr>
            <w:tcW w:w="5210" w:type="dxa"/>
            <w:tcBorders/>
            <w:vAlign w:val="bottom"/>
          </w:tcPr>
          <w:p>
            <w:pPr>
              <w:pStyle w:val="TableContents"/>
              <w:bidi w:val="0"/>
              <w:spacing w:lineRule="auto" w:line="240" w:before="0" w:after="0"/>
              <w:ind w:left="480" w:right="0" w:hanging="0"/>
              <w:jc w:val="left"/>
              <w:rPr>
                <w:rFonts w:ascii="Times New Roman" w:hAnsi="Times New Roman"/>
                <w:color w:val="000000"/>
                <w:sz w:val="20"/>
              </w:rPr>
            </w:pPr>
            <w:r>
              <w:rPr>
                <w:rFonts w:ascii="Times New Roman" w:hAnsi="Times New Roman"/>
                <w:color w:val="000000"/>
                <w:sz w:val="20"/>
              </w:rPr>
              <w:t>Accrued insurance</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72,455 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66,888  </w:t>
            </w:r>
          </w:p>
        </w:tc>
      </w:tr>
      <w:tr>
        <w:trPr/>
        <w:tc>
          <w:tcPr>
            <w:tcW w:w="5210" w:type="dxa"/>
            <w:tcBorders/>
            <w:vAlign w:val="bottom"/>
          </w:tcPr>
          <w:p>
            <w:pPr>
              <w:pStyle w:val="TableContents"/>
              <w:bidi w:val="0"/>
              <w:spacing w:lineRule="auto" w:line="240" w:before="0" w:after="0"/>
              <w:ind w:left="480" w:right="0" w:hanging="0"/>
              <w:jc w:val="left"/>
              <w:rPr>
                <w:rFonts w:ascii="Times New Roman" w:hAnsi="Times New Roman"/>
                <w:color w:val="000000"/>
                <w:sz w:val="20"/>
              </w:rPr>
            </w:pPr>
            <w:r>
              <w:rPr>
                <w:rFonts w:ascii="Times New Roman" w:hAnsi="Times New Roman"/>
                <w:color w:val="000000"/>
                <w:sz w:val="20"/>
              </w:rPr>
              <w:t>Accrued compensation</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63,794 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54,688  </w:t>
            </w:r>
          </w:p>
        </w:tc>
      </w:tr>
      <w:tr>
        <w:trPr/>
        <w:tc>
          <w:tcPr>
            <w:tcW w:w="5210" w:type="dxa"/>
            <w:tcBorders/>
            <w:vAlign w:val="bottom"/>
          </w:tcPr>
          <w:p>
            <w:pPr>
              <w:pStyle w:val="TableContents"/>
              <w:bidi w:val="0"/>
              <w:spacing w:lineRule="auto" w:line="240" w:before="0" w:after="0"/>
              <w:ind w:left="480" w:right="0" w:hanging="0"/>
              <w:jc w:val="left"/>
              <w:rPr>
                <w:rFonts w:ascii="Times New Roman" w:hAnsi="Times New Roman"/>
                <w:color w:val="000000"/>
                <w:sz w:val="20"/>
              </w:rPr>
            </w:pPr>
            <w:r>
              <w:rPr>
                <w:rFonts w:ascii="Times New Roman" w:hAnsi="Times New Roman"/>
                <w:color w:val="000000"/>
                <w:sz w:val="20"/>
              </w:rPr>
              <w:t>Short-term lease liability</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41,277 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43,700  </w:t>
            </w:r>
          </w:p>
        </w:tc>
      </w:tr>
      <w:tr>
        <w:trPr/>
        <w:tc>
          <w:tcPr>
            <w:tcW w:w="5210" w:type="dxa"/>
            <w:tcBorders/>
            <w:vAlign w:val="bottom"/>
          </w:tcPr>
          <w:p>
            <w:pPr>
              <w:pStyle w:val="TableContents"/>
              <w:bidi w:val="0"/>
              <w:spacing w:lineRule="auto" w:line="240" w:before="0" w:after="0"/>
              <w:ind w:left="480" w:right="0" w:hanging="0"/>
              <w:jc w:val="left"/>
              <w:rPr>
                <w:rFonts w:ascii="Times New Roman" w:hAnsi="Times New Roman"/>
                <w:color w:val="000000"/>
                <w:sz w:val="20"/>
              </w:rPr>
            </w:pPr>
            <w:r>
              <w:rPr>
                <w:rFonts w:ascii="Times New Roman" w:hAnsi="Times New Roman"/>
                <w:color w:val="000000"/>
                <w:sz w:val="20"/>
              </w:rPr>
              <w:t>Other current liabilities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1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57,607 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2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47,746  </w:t>
            </w:r>
          </w:p>
        </w:tc>
      </w:tr>
      <w:tr>
        <w:trPr/>
        <w:tc>
          <w:tcPr>
            <w:tcW w:w="5210" w:type="dxa"/>
            <w:tcBorders/>
            <w:vAlign w:val="bottom"/>
          </w:tcPr>
          <w:p>
            <w:pPr>
              <w:pStyle w:val="TableContents"/>
              <w:bidi w:val="0"/>
              <w:spacing w:lineRule="auto" w:line="240" w:before="0" w:after="0"/>
              <w:ind w:left="720" w:right="0" w:hanging="0"/>
              <w:jc w:val="left"/>
              <w:rPr>
                <w:rFonts w:ascii="Times New Roman" w:hAnsi="Times New Roman"/>
                <w:color w:val="000000"/>
                <w:sz w:val="20"/>
              </w:rPr>
            </w:pPr>
            <w:r>
              <w:rPr>
                <w:rFonts w:ascii="Times New Roman" w:hAnsi="Times New Roman"/>
                <w:color w:val="000000"/>
                <w:sz w:val="20"/>
              </w:rPr>
              <w:t>Total current liabilities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10"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319,846 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25"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263,886  </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Deferred income taxes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15,050 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12,703  </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Deferred compensation liabilities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146,986 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127,699  </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Long-term debt</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140,000 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lineRule="auto" w:line="240" w:before="0" w:after="0"/>
              <w:ind w:left="0" w:right="65" w:hanging="0"/>
              <w:jc w:val="right"/>
              <w:rPr>
                <w:color w:val="000000"/>
              </w:rPr>
            </w:pPr>
            <w:r>
              <w:rPr>
                <w:color w:val="000000"/>
              </w:rPr>
              <w:t> </w:t>
            </w:r>
            <w:r>
              <w:rPr>
                <w:rFonts w:ascii="Times New Roman" w:hAnsi="Times New Roman"/>
                <w:color w:val="000000"/>
                <w:sz w:val="20"/>
              </w:rPr>
              <w:t>-</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Long-term lease liability</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113,516 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101,861  </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Other liabilities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1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13,677 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2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13,213  </w:t>
            </w:r>
          </w:p>
        </w:tc>
      </w:tr>
      <w:tr>
        <w:trPr/>
        <w:tc>
          <w:tcPr>
            <w:tcW w:w="5210" w:type="dxa"/>
            <w:tcBorders/>
            <w:vAlign w:val="bottom"/>
          </w:tcPr>
          <w:p>
            <w:pPr>
              <w:pStyle w:val="TableContents"/>
              <w:bidi w:val="0"/>
              <w:spacing w:lineRule="auto" w:line="240" w:before="0" w:after="0"/>
              <w:ind w:left="720" w:right="0" w:hanging="0"/>
              <w:jc w:val="left"/>
              <w:rPr>
                <w:rFonts w:ascii="Times New Roman" w:hAnsi="Times New Roman"/>
                <w:color w:val="000000"/>
                <w:sz w:val="20"/>
              </w:rPr>
            </w:pPr>
            <w:r>
              <w:rPr>
                <w:rFonts w:ascii="Times New Roman" w:hAnsi="Times New Roman"/>
                <w:color w:val="000000"/>
                <w:sz w:val="20"/>
              </w:rPr>
              <w:t>Total Liabilities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010"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749,075 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025"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519,362  </w:t>
            </w:r>
          </w:p>
        </w:tc>
      </w:tr>
      <w:tr>
        <w:trPr/>
        <w:tc>
          <w:tcPr>
            <w:tcW w:w="5210" w:type="dxa"/>
            <w:tcBorders/>
            <w:vAlign w:val="bottom"/>
          </w:tcPr>
          <w:p>
            <w:pPr>
              <w:pStyle w:val="TableContents"/>
              <w:bidi w:val="0"/>
              <w:spacing w:lineRule="auto" w:line="240" w:before="0" w:after="0"/>
              <w:ind w:left="0" w:right="0" w:hanging="0"/>
              <w:jc w:val="left"/>
              <w:rPr>
                <w:rFonts w:ascii="Times New Roman" w:hAnsi="Times New Roman"/>
                <w:b/>
                <w:color w:val="000000"/>
                <w:sz w:val="20"/>
              </w:rPr>
            </w:pPr>
            <w:r>
              <w:rPr>
                <w:rFonts w:ascii="Times New Roman" w:hAnsi="Times New Roman"/>
                <w:b/>
                <w:color w:val="000000"/>
                <w:sz w:val="20"/>
              </w:rPr>
              <w:t>Stockholders' Equity</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1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2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Capital stock</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37,613 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37,593  </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Paid-in capital</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1,617,125 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1,576,165  </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Retained earnings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3,073,331 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2,831,540  </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Treasury stock, at cost</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(3,900,000)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(3,249,115) </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Deferred compensation payable in Company stock</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1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2,441 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2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2,302  </w:t>
            </w:r>
          </w:p>
        </w:tc>
      </w:tr>
      <w:tr>
        <w:trPr/>
        <w:tc>
          <w:tcPr>
            <w:tcW w:w="5210" w:type="dxa"/>
            <w:tcBorders/>
            <w:vAlign w:val="bottom"/>
          </w:tcPr>
          <w:p>
            <w:pPr>
              <w:pStyle w:val="TableContents"/>
              <w:bidi w:val="0"/>
              <w:spacing w:lineRule="auto" w:line="240" w:before="0" w:after="0"/>
              <w:ind w:left="720" w:right="0" w:hanging="0"/>
              <w:jc w:val="left"/>
              <w:rPr>
                <w:rFonts w:ascii="Times New Roman" w:hAnsi="Times New Roman"/>
                <w:color w:val="000000"/>
                <w:sz w:val="20"/>
              </w:rPr>
            </w:pPr>
            <w:r>
              <w:rPr>
                <w:rFonts w:ascii="Times New Roman" w:hAnsi="Times New Roman"/>
                <w:color w:val="000000"/>
                <w:sz w:val="20"/>
              </w:rPr>
              <w:t>Total Stockholders' Equity</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010"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830,510 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025"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1,198,485  </w:t>
            </w:r>
          </w:p>
        </w:tc>
      </w:tr>
      <w:tr>
        <w:trPr/>
        <w:tc>
          <w:tcPr>
            <w:tcW w:w="5210" w:type="dxa"/>
            <w:tcBorders/>
            <w:vAlign w:val="bottom"/>
          </w:tcPr>
          <w:p>
            <w:pPr>
              <w:pStyle w:val="TableContents"/>
              <w:bidi w:val="0"/>
              <w:spacing w:lineRule="auto" w:line="240" w:before="0" w:after="0"/>
              <w:ind w:left="720" w:right="0" w:hanging="0"/>
              <w:jc w:val="left"/>
              <w:rPr>
                <w:rFonts w:ascii="Times New Roman" w:hAnsi="Times New Roman"/>
                <w:color w:val="000000"/>
                <w:sz w:val="20"/>
              </w:rPr>
            </w:pPr>
            <w:r>
              <w:rPr>
                <w:rFonts w:ascii="Times New Roman" w:hAnsi="Times New Roman"/>
                <w:color w:val="000000"/>
                <w:sz w:val="20"/>
              </w:rPr>
              <w:t>Total Liabilities and Stockholders' Equity</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b/>
                <w:color w:val="000000"/>
                <w:sz w:val="20"/>
              </w:rPr>
            </w:pPr>
            <w:r>
              <w:rPr>
                <w:rFonts w:ascii="Times New Roman" w:hAnsi="Times New Roman"/>
                <w:b/>
                <w:color w:val="000000"/>
                <w:sz w:val="20"/>
              </w:rPr>
              <w:t>$</w:t>
            </w:r>
          </w:p>
        </w:tc>
        <w:tc>
          <w:tcPr>
            <w:tcW w:w="1010"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1,579,585 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25"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1,717,847  </w:t>
            </w:r>
          </w:p>
        </w:tc>
      </w:tr>
    </w:tbl>
    <w:p>
      <w:pPr>
        <w:pStyle w:val="TextBody"/>
        <w:bidi w:val="0"/>
        <w:spacing w:lineRule="auto" w:line="240" w:before="0" w:after="0"/>
        <w:ind w:left="720" w:right="1340" w:hanging="0"/>
        <w:jc w:val="left"/>
        <w:rPr>
          <w:rFonts w:cs="Times New Roman"/>
          <w:szCs w:val="24"/>
        </w:rPr>
      </w:pPr>
      <w:r>
        <w:rPr>
          <w:rFonts w:cs="Times New Roman"/>
          <w:szCs w:val="24"/>
        </w:rPr>
        <w:t xml:space="preserve">﻿ </w:t>
      </w:r>
    </w:p>
    <w:p>
      <w:pPr>
        <w:pStyle w:val="HorizontalLine"/>
        <w:pBdr>
          <w:bottom w:val="double" w:sz="6" w:space="0" w:color="808080"/>
        </w:pBdr>
        <w:bidi w:val="0"/>
        <w:ind w:left="720" w:right="1340" w:hanging="0"/>
        <w:jc w:val="left"/>
        <w:rPr/>
      </w:pPr>
      <w:r>
        <w:rPr/>
      </w:r>
    </w:p>
    <w:p>
      <w:pPr>
        <w:pStyle w:val="TextBody"/>
        <w:bidi w:val="0"/>
        <w:ind w:left="720" w:right="1340" w:hanging="0"/>
        <w:jc w:val="left"/>
        <w:rPr/>
      </w:pPr>
      <w:r>
        <w:rPr/>
        <w:t> </w:t>
      </w:r>
      <w:r>
        <w:br w:type="page"/>
      </w:r>
    </w:p>
    <w:p>
      <w:pPr>
        <w:pStyle w:val="TextBody"/>
        <w:bidi w:val="0"/>
        <w:spacing w:lineRule="auto" w:line="240" w:before="0" w:after="0"/>
        <w:ind w:left="720" w:right="1340" w:hanging="0"/>
        <w:jc w:val="left"/>
        <w:rPr>
          <w:rFonts w:cs="Times New Roman"/>
          <w:szCs w:val="2"/>
        </w:rPr>
      </w:pPr>
      <w:r>
        <w:rPr>
          <w:rFonts w:cs="Times New Roman"/>
          <w:szCs w:val="2"/>
        </w:rPr>
        <w:t xml:space="preserve">﻿ </w:t>
      </w:r>
    </w:p>
    <w:p>
      <w:pPr>
        <w:pStyle w:val="TextBody"/>
        <w:bidi w:val="0"/>
        <w:spacing w:lineRule="auto" w:line="240" w:before="0" w:after="0"/>
        <w:ind w:left="720" w:right="1340" w:hanging="0"/>
        <w:jc w:val="left"/>
        <w:rPr>
          <w:rFonts w:cs="Times New Roman"/>
          <w:szCs w:val="2"/>
        </w:rPr>
      </w:pPr>
      <w:r>
        <w:rPr>
          <w:rFonts w:cs="Times New Roman"/>
          <w:szCs w:val="2"/>
        </w:rPr>
        <w:t xml:space="preserve">﻿ </w:t>
      </w:r>
    </w:p>
    <w:p>
      <w:pPr>
        <w:pStyle w:val="TextBody"/>
        <w:bidi w:val="0"/>
        <w:spacing w:lineRule="auto" w:line="240" w:before="0" w:after="0"/>
        <w:ind w:left="720" w:right="1340" w:hanging="0"/>
        <w:jc w:val="left"/>
        <w:rPr>
          <w:rFonts w:cs="Times New Roman"/>
          <w:szCs w:val="2"/>
        </w:rPr>
      </w:pPr>
      <w:r>
        <w:rPr>
          <w:rFonts w:cs="Times New Roman"/>
          <w:szCs w:val="2"/>
        </w:rPr>
        <w:t xml:space="preserve">﻿ </w:t>
      </w:r>
    </w:p>
    <w:tbl>
      <w:tblPr>
        <w:tblW w:w="8145" w:type="dxa"/>
        <w:jc w:val="left"/>
        <w:tblInd w:w="720" w:type="dxa"/>
        <w:tblLayout w:type="fixed"/>
        <w:tblCellMar>
          <w:top w:w="0" w:type="dxa"/>
          <w:left w:w="0" w:type="dxa"/>
          <w:bottom w:w="0" w:type="dxa"/>
          <w:right w:w="0" w:type="dxa"/>
        </w:tblCellMar>
      </w:tblPr>
      <w:tblGrid>
        <w:gridCol w:w="5266"/>
        <w:gridCol w:w="60"/>
        <w:gridCol w:w="240"/>
        <w:gridCol w:w="1168"/>
        <w:gridCol w:w="81"/>
        <w:gridCol w:w="240"/>
        <w:gridCol w:w="1090"/>
      </w:tblGrid>
      <w:tr>
        <w:trPr/>
        <w:tc>
          <w:tcPr>
            <w:tcW w:w="5266"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168" w:type="dxa"/>
            <w:tcBorders/>
            <w:vAlign w:val="bottom"/>
          </w:tcPr>
          <w:p>
            <w:pPr>
              <w:pStyle w:val="TableContents"/>
              <w:bidi w:val="0"/>
              <w:spacing w:lineRule="auto" w:line="240" w:before="0" w:after="0"/>
              <w:ind w:left="0" w:right="0" w:hanging="0"/>
              <w:jc w:val="left"/>
              <w:rPr/>
            </w:pPr>
            <w:r>
              <w:rPr/>
              <w:t>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090" w:type="dxa"/>
            <w:tcBorders/>
            <w:vAlign w:val="bottom"/>
          </w:tcPr>
          <w:p>
            <w:pPr>
              <w:pStyle w:val="TableContents"/>
              <w:bidi w:val="0"/>
              <w:spacing w:lineRule="auto" w:line="240" w:before="0" w:after="0"/>
              <w:ind w:left="0" w:right="0" w:hanging="0"/>
              <w:jc w:val="left"/>
              <w:rPr/>
            </w:pPr>
            <w:r>
              <w:rPr/>
              <w:t> </w:t>
            </w:r>
          </w:p>
        </w:tc>
      </w:tr>
      <w:tr>
        <w:trPr/>
        <w:tc>
          <w:tcPr>
            <w:tcW w:w="8145" w:type="dxa"/>
            <w:gridSpan w:val="7"/>
            <w:tcBorders/>
            <w:vAlign w:val="bottom"/>
          </w:tcPr>
          <w:p>
            <w:pPr>
              <w:pStyle w:val="TableContents"/>
              <w:bidi w:val="0"/>
              <w:spacing w:lineRule="auto" w:line="240" w:before="0" w:after="0"/>
              <w:ind w:left="0" w:right="0" w:hanging="0"/>
              <w:jc w:val="center"/>
              <w:rPr>
                <w:rFonts w:ascii="Times New Roman" w:hAnsi="Times New Roman"/>
                <w:b/>
                <w:color w:val="000000"/>
                <w:sz w:val="20"/>
              </w:rPr>
            </w:pPr>
            <w:r>
              <w:rPr>
                <w:rFonts w:ascii="Times New Roman" w:hAnsi="Times New Roman"/>
                <w:b/>
                <w:color w:val="000000"/>
                <w:sz w:val="20"/>
              </w:rPr>
              <w:t>CHEMED CORPORATION AND SUBSIDIARY COMPANIES</w:t>
            </w:r>
          </w:p>
        </w:tc>
      </w:tr>
      <w:tr>
        <w:trPr/>
        <w:tc>
          <w:tcPr>
            <w:tcW w:w="8145" w:type="dxa"/>
            <w:gridSpan w:val="7"/>
            <w:tcBorders/>
            <w:vAlign w:val="bottom"/>
          </w:tcPr>
          <w:p>
            <w:pPr>
              <w:pStyle w:val="TableContents"/>
              <w:bidi w:val="0"/>
              <w:spacing w:lineRule="auto" w:line="240" w:before="0" w:after="0"/>
              <w:ind w:left="0" w:right="0" w:hanging="0"/>
              <w:jc w:val="center"/>
              <w:rPr>
                <w:rFonts w:ascii="Times New Roman" w:hAnsi="Times New Roman"/>
                <w:b/>
                <w:color w:val="000000"/>
                <w:sz w:val="20"/>
              </w:rPr>
            </w:pPr>
            <w:r>
              <w:rPr>
                <w:rFonts w:ascii="Times New Roman" w:hAnsi="Times New Roman"/>
                <w:b/>
                <w:color w:val="000000"/>
                <w:sz w:val="20"/>
              </w:rPr>
              <w:t>CONSOLIDATED STATEMENTS OF CASH FLOWS</w:t>
            </w:r>
          </w:p>
        </w:tc>
      </w:tr>
      <w:tr>
        <w:trPr/>
        <w:tc>
          <w:tcPr>
            <w:tcW w:w="8145" w:type="dxa"/>
            <w:gridSpan w:val="7"/>
            <w:tcBorders/>
            <w:vAlign w:val="bottom"/>
          </w:tcPr>
          <w:p>
            <w:pPr>
              <w:pStyle w:val="TableContents"/>
              <w:bidi w:val="0"/>
              <w:spacing w:lineRule="auto" w:line="240" w:before="0" w:after="0"/>
              <w:ind w:left="0" w:right="0" w:hanging="0"/>
              <w:jc w:val="center"/>
              <w:rPr>
                <w:rFonts w:ascii="Times New Roman" w:hAnsi="Times New Roman"/>
                <w:color w:val="000000"/>
                <w:sz w:val="20"/>
              </w:rPr>
            </w:pPr>
            <w:r>
              <w:rPr>
                <w:rFonts w:ascii="Times New Roman" w:hAnsi="Times New Roman"/>
                <w:color w:val="000000"/>
                <w:sz w:val="20"/>
              </w:rPr>
              <w:t>(in thousands)(unaudited)</w:t>
            </w:r>
          </w:p>
        </w:tc>
      </w:tr>
      <w:tr>
        <w:trPr/>
        <w:tc>
          <w:tcPr>
            <w:tcW w:w="5266" w:type="dxa"/>
            <w:tcBorders/>
            <w:vAlign w:val="bottom"/>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168" w:type="dxa"/>
            <w:tcBorders/>
            <w:vAlign w:val="bottom"/>
          </w:tcPr>
          <w:p>
            <w:pPr>
              <w:pStyle w:val="TableContents"/>
              <w:bidi w:val="0"/>
              <w:spacing w:lineRule="auto" w:line="240" w:before="0" w:after="0"/>
              <w:ind w:left="0" w:right="0" w:hanging="0"/>
              <w:jc w:val="right"/>
              <w:rPr/>
            </w:pPr>
            <w:r>
              <w:rPr/>
              <w:t>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090" w:type="dxa"/>
            <w:tcBorders/>
            <w:vAlign w:val="bottom"/>
          </w:tcPr>
          <w:p>
            <w:pPr>
              <w:pStyle w:val="TableContents"/>
              <w:bidi w:val="0"/>
              <w:spacing w:lineRule="auto" w:line="240" w:before="0" w:after="0"/>
              <w:ind w:left="0" w:right="0" w:hanging="0"/>
              <w:jc w:val="right"/>
              <w:rPr/>
            </w:pPr>
            <w:r>
              <w:rPr/>
              <w:t> </w:t>
            </w:r>
          </w:p>
        </w:tc>
      </w:tr>
      <w:tr>
        <w:trPr/>
        <w:tc>
          <w:tcPr>
            <w:tcW w:w="5266" w:type="dxa"/>
            <w:tcBorders/>
            <w:vAlign w:val="bottom"/>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60" w:type="dxa"/>
            <w:tcBorders/>
            <w:vAlign w:val="bottom"/>
          </w:tcPr>
          <w:p>
            <w:pPr>
              <w:pStyle w:val="TableContents"/>
              <w:bidi w:val="0"/>
              <w:spacing w:lineRule="auto" w:line="240" w:before="0" w:after="0"/>
              <w:ind w:left="0" w:right="0" w:hanging="0"/>
              <w:jc w:val="left"/>
              <w:rPr/>
            </w:pPr>
            <w:r>
              <w:rPr/>
              <w:t> </w:t>
            </w:r>
          </w:p>
        </w:tc>
        <w:tc>
          <w:tcPr>
            <w:tcW w:w="2819" w:type="dxa"/>
            <w:gridSpan w:val="5"/>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color w:val="000000"/>
                <w:sz w:val="20"/>
              </w:rPr>
            </w:pPr>
            <w:r>
              <w:rPr>
                <w:rFonts w:ascii="Times New Roman" w:hAnsi="Times New Roman"/>
                <w:color w:val="000000"/>
                <w:sz w:val="20"/>
              </w:rPr>
              <w:t>For the Six Months Ended June 30,</w:t>
            </w:r>
          </w:p>
        </w:tc>
      </w:tr>
      <w:tr>
        <w:trPr/>
        <w:tc>
          <w:tcPr>
            <w:tcW w:w="5266" w:type="dxa"/>
            <w:tcBorders/>
            <w:vAlign w:val="bottom"/>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60" w:type="dxa"/>
            <w:tcBorders/>
            <w:vAlign w:val="bottom"/>
          </w:tcPr>
          <w:p>
            <w:pPr>
              <w:pStyle w:val="TableContents"/>
              <w:bidi w:val="0"/>
              <w:spacing w:lineRule="auto" w:line="240" w:before="0" w:after="0"/>
              <w:ind w:left="0" w:right="0" w:hanging="0"/>
              <w:jc w:val="left"/>
              <w:rPr/>
            </w:pPr>
            <w:r>
              <w:rPr/>
              <w:t> </w:t>
            </w:r>
          </w:p>
        </w:tc>
        <w:tc>
          <w:tcPr>
            <w:tcW w:w="1408"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20"/>
              </w:rPr>
            </w:pPr>
            <w:r>
              <w:rPr>
                <w:rFonts w:ascii="Times New Roman" w:hAnsi="Times New Roman"/>
                <w:b/>
                <w:color w:val="000000"/>
                <w:sz w:val="20"/>
              </w:rPr>
              <w:t>2026</w:t>
            </w:r>
          </w:p>
        </w:tc>
        <w:tc>
          <w:tcPr>
            <w:tcW w:w="81"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330"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color w:val="000000"/>
                <w:sz w:val="20"/>
              </w:rPr>
            </w:pPr>
            <w:r>
              <w:rPr>
                <w:rFonts w:ascii="Times New Roman" w:hAnsi="Times New Roman"/>
                <w:color w:val="000000"/>
                <w:sz w:val="20"/>
              </w:rPr>
              <w:t>2025</w:t>
            </w:r>
          </w:p>
        </w:tc>
      </w:tr>
      <w:tr>
        <w:trPr/>
        <w:tc>
          <w:tcPr>
            <w:tcW w:w="5266" w:type="dxa"/>
            <w:tcBorders/>
            <w:vAlign w:val="bottom"/>
          </w:tcPr>
          <w:p>
            <w:pPr>
              <w:pStyle w:val="TableContents"/>
              <w:bidi w:val="0"/>
              <w:spacing w:lineRule="auto" w:line="240" w:before="0" w:after="0"/>
              <w:ind w:left="0" w:right="0" w:hanging="0"/>
              <w:jc w:val="left"/>
              <w:rPr>
                <w:rFonts w:ascii="Times New Roman" w:hAnsi="Times New Roman"/>
                <w:b/>
                <w:color w:val="000000"/>
                <w:sz w:val="20"/>
              </w:rPr>
            </w:pPr>
            <w:r>
              <w:rPr>
                <w:rFonts w:ascii="Times New Roman" w:hAnsi="Times New Roman"/>
                <w:b/>
                <w:color w:val="000000"/>
                <w:sz w:val="20"/>
              </w:rPr>
              <w:t>Cash Flows from Operating Activities</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68" w:type="dxa"/>
            <w:tcBorders>
              <w:top w:val="single" w:sz="8" w:space="0" w:color="000000"/>
            </w:tcBorders>
            <w:tcMar>
              <w:top w:w="28" w:type="dxa"/>
            </w:tcMar>
            <w:vAlign w:val="bottom"/>
          </w:tcPr>
          <w:p>
            <w:pPr>
              <w:pStyle w:val="TableContents"/>
              <w:bidi w:val="0"/>
              <w:spacing w:lineRule="auto" w:line="240" w:before="0" w:after="0"/>
              <w:ind w:left="0" w:right="0" w:hanging="0"/>
              <w:jc w:val="right"/>
              <w:rPr/>
            </w:pPr>
            <w:r>
              <w:rPr/>
              <w:t>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0" w:type="dxa"/>
            <w:tcBorders>
              <w:top w:val="single" w:sz="8" w:space="0" w:color="000000"/>
            </w:tcBorders>
            <w:tcMar>
              <w:top w:w="28" w:type="dxa"/>
            </w:tcMar>
            <w:vAlign w:val="bottom"/>
          </w:tcPr>
          <w:p>
            <w:pPr>
              <w:pStyle w:val="TableContents"/>
              <w:bidi w:val="0"/>
              <w:spacing w:lineRule="auto" w:line="240" w:before="0" w:after="0"/>
              <w:ind w:left="0" w:right="0" w:hanging="0"/>
              <w:jc w:val="right"/>
              <w:rPr/>
            </w:pPr>
            <w:r>
              <w:rPr/>
              <w:t> </w:t>
            </w:r>
          </w:p>
        </w:tc>
      </w:tr>
      <w:tr>
        <w:trPr/>
        <w:tc>
          <w:tcPr>
            <w:tcW w:w="5266"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Net income</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rFonts w:ascii="Times New Roman" w:hAnsi="Times New Roman"/>
                <w:b/>
                <w:color w:val="000000"/>
                <w:sz w:val="20"/>
              </w:rPr>
            </w:pPr>
            <w:r>
              <w:rPr>
                <w:rFonts w:ascii="Times New Roman" w:hAnsi="Times New Roman"/>
                <w:b/>
                <w:color w:val="000000"/>
                <w:sz w:val="20"/>
              </w:rPr>
              <w:t>$</w:t>
            </w:r>
          </w:p>
        </w:tc>
        <w:tc>
          <w:tcPr>
            <w:tcW w:w="1168"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134,005 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rFonts w:ascii="Times New Roman" w:hAnsi="Times New Roman"/>
                <w:b/>
                <w:color w:val="000000"/>
                <w:sz w:val="20"/>
              </w:rPr>
            </w:pPr>
            <w:r>
              <w:rPr>
                <w:rFonts w:ascii="Times New Roman" w:hAnsi="Times New Roman"/>
                <w:b/>
                <w:color w:val="000000"/>
                <w:sz w:val="20"/>
              </w:rPr>
              <w:t>$</w:t>
            </w:r>
          </w:p>
        </w:tc>
        <w:tc>
          <w:tcPr>
            <w:tcW w:w="109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124,250  </w:t>
            </w:r>
          </w:p>
        </w:tc>
      </w:tr>
      <w:tr>
        <w:trPr/>
        <w:tc>
          <w:tcPr>
            <w:tcW w:w="5266"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Adjustments to reconcile net income to net cash provided</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168" w:type="dxa"/>
            <w:tcBorders/>
            <w:vAlign w:val="bottom"/>
          </w:tcPr>
          <w:p>
            <w:pPr>
              <w:pStyle w:val="TableContents"/>
              <w:bidi w:val="0"/>
              <w:spacing w:lineRule="auto" w:line="240" w:before="0" w:after="0"/>
              <w:ind w:left="0" w:right="0" w:hanging="0"/>
              <w:jc w:val="right"/>
              <w:rPr/>
            </w:pPr>
            <w:r>
              <w:rPr/>
              <w:t>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090" w:type="dxa"/>
            <w:tcBorders/>
            <w:vAlign w:val="bottom"/>
          </w:tcPr>
          <w:p>
            <w:pPr>
              <w:pStyle w:val="TableContents"/>
              <w:bidi w:val="0"/>
              <w:spacing w:lineRule="auto" w:line="240" w:before="0" w:after="0"/>
              <w:ind w:left="0" w:right="0" w:hanging="0"/>
              <w:jc w:val="right"/>
              <w:rPr/>
            </w:pPr>
            <w:r>
              <w:rPr/>
              <w:t> </w:t>
            </w:r>
          </w:p>
        </w:tc>
      </w:tr>
      <w:tr>
        <w:trPr/>
        <w:tc>
          <w:tcPr>
            <w:tcW w:w="5266" w:type="dxa"/>
            <w:tcBorders/>
            <w:vAlign w:val="bottom"/>
          </w:tcPr>
          <w:p>
            <w:pPr>
              <w:pStyle w:val="TableContents"/>
              <w:bidi w:val="0"/>
              <w:spacing w:lineRule="auto" w:line="240" w:before="0" w:after="0"/>
              <w:ind w:left="480" w:right="0" w:hanging="0"/>
              <w:jc w:val="left"/>
              <w:rPr>
                <w:rFonts w:ascii="Times New Roman" w:hAnsi="Times New Roman"/>
                <w:color w:val="000000"/>
                <w:sz w:val="20"/>
              </w:rPr>
            </w:pPr>
            <w:r>
              <w:rPr>
                <w:rFonts w:ascii="Times New Roman" w:hAnsi="Times New Roman"/>
                <w:color w:val="000000"/>
                <w:sz w:val="20"/>
              </w:rPr>
              <w:t>by operating activities:</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168" w:type="dxa"/>
            <w:tcBorders/>
            <w:vAlign w:val="bottom"/>
          </w:tcPr>
          <w:p>
            <w:pPr>
              <w:pStyle w:val="TableContents"/>
              <w:bidi w:val="0"/>
              <w:spacing w:lineRule="auto" w:line="240" w:before="0" w:after="0"/>
              <w:ind w:left="0" w:right="0" w:hanging="0"/>
              <w:jc w:val="right"/>
              <w:rPr/>
            </w:pPr>
            <w:r>
              <w:rPr/>
              <w:t>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090" w:type="dxa"/>
            <w:tcBorders/>
            <w:vAlign w:val="bottom"/>
          </w:tcPr>
          <w:p>
            <w:pPr>
              <w:pStyle w:val="TableContents"/>
              <w:bidi w:val="0"/>
              <w:spacing w:lineRule="auto" w:line="240" w:before="0" w:after="0"/>
              <w:ind w:left="0" w:right="0" w:hanging="0"/>
              <w:jc w:val="right"/>
              <w:rPr/>
            </w:pPr>
            <w:r>
              <w:rPr/>
              <w:t> </w:t>
            </w:r>
          </w:p>
        </w:tc>
      </w:tr>
      <w:tr>
        <w:trPr/>
        <w:tc>
          <w:tcPr>
            <w:tcW w:w="5266" w:type="dxa"/>
            <w:tcBorders/>
            <w:vAlign w:val="bottom"/>
          </w:tcPr>
          <w:p>
            <w:pPr>
              <w:pStyle w:val="TableContents"/>
              <w:bidi w:val="0"/>
              <w:spacing w:lineRule="auto" w:line="240" w:before="0" w:after="0"/>
              <w:ind w:left="720" w:right="0" w:hanging="0"/>
              <w:jc w:val="left"/>
              <w:rPr>
                <w:rFonts w:ascii="Times New Roman" w:hAnsi="Times New Roman"/>
                <w:color w:val="000000"/>
                <w:sz w:val="20"/>
              </w:rPr>
            </w:pPr>
            <w:r>
              <w:rPr>
                <w:rFonts w:ascii="Times New Roman" w:hAnsi="Times New Roman"/>
                <w:color w:val="000000"/>
                <w:sz w:val="20"/>
              </w:rPr>
              <w:t>Depreciation and amortization</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168"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33,859 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09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32,277  </w:t>
            </w:r>
          </w:p>
        </w:tc>
      </w:tr>
      <w:tr>
        <w:trPr/>
        <w:tc>
          <w:tcPr>
            <w:tcW w:w="5266" w:type="dxa"/>
            <w:tcBorders/>
            <w:vAlign w:val="bottom"/>
          </w:tcPr>
          <w:p>
            <w:pPr>
              <w:pStyle w:val="TableContents"/>
              <w:bidi w:val="0"/>
              <w:spacing w:lineRule="auto" w:line="240" w:before="0" w:after="0"/>
              <w:ind w:left="720" w:right="0" w:hanging="0"/>
              <w:jc w:val="left"/>
              <w:rPr>
                <w:rFonts w:ascii="Times New Roman" w:hAnsi="Times New Roman"/>
                <w:color w:val="000000"/>
                <w:sz w:val="20"/>
              </w:rPr>
            </w:pPr>
            <w:r>
              <w:rPr>
                <w:rFonts w:ascii="Times New Roman" w:hAnsi="Times New Roman"/>
                <w:color w:val="000000"/>
                <w:sz w:val="20"/>
              </w:rPr>
              <w:t>Stock option expense</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168"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18,302 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09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18,307  </w:t>
            </w:r>
          </w:p>
        </w:tc>
      </w:tr>
      <w:tr>
        <w:trPr/>
        <w:tc>
          <w:tcPr>
            <w:tcW w:w="5266" w:type="dxa"/>
            <w:tcBorders/>
            <w:vAlign w:val="bottom"/>
          </w:tcPr>
          <w:p>
            <w:pPr>
              <w:pStyle w:val="TableContents"/>
              <w:bidi w:val="0"/>
              <w:spacing w:lineRule="auto" w:line="240" w:before="0" w:after="0"/>
              <w:ind w:left="720" w:right="0" w:hanging="0"/>
              <w:jc w:val="left"/>
              <w:rPr>
                <w:rFonts w:ascii="Times New Roman" w:hAnsi="Times New Roman"/>
                <w:color w:val="000000"/>
                <w:sz w:val="20"/>
              </w:rPr>
            </w:pPr>
            <w:r>
              <w:rPr>
                <w:rFonts w:ascii="Times New Roman" w:hAnsi="Times New Roman"/>
                <w:color w:val="000000"/>
                <w:sz w:val="20"/>
              </w:rPr>
              <w:t>Benefit for deferred income taxes</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168"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(4,262)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09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(13,243) </w:t>
            </w:r>
          </w:p>
        </w:tc>
      </w:tr>
      <w:tr>
        <w:trPr/>
        <w:tc>
          <w:tcPr>
            <w:tcW w:w="5266" w:type="dxa"/>
            <w:tcBorders/>
            <w:vAlign w:val="bottom"/>
          </w:tcPr>
          <w:p>
            <w:pPr>
              <w:pStyle w:val="TableContents"/>
              <w:bidi w:val="0"/>
              <w:spacing w:lineRule="auto" w:line="240" w:before="0" w:after="0"/>
              <w:ind w:left="720" w:right="0" w:hanging="0"/>
              <w:jc w:val="left"/>
              <w:rPr>
                <w:rFonts w:ascii="Times New Roman" w:hAnsi="Times New Roman"/>
                <w:color w:val="000000"/>
                <w:sz w:val="20"/>
              </w:rPr>
            </w:pPr>
            <w:r>
              <w:rPr>
                <w:rFonts w:ascii="Times New Roman" w:hAnsi="Times New Roman"/>
                <w:color w:val="000000"/>
                <w:sz w:val="20"/>
              </w:rPr>
              <w:t>Noncash long-term incentive compensation</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168"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3,633 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09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3,273  </w:t>
            </w:r>
          </w:p>
        </w:tc>
      </w:tr>
      <w:tr>
        <w:trPr/>
        <w:tc>
          <w:tcPr>
            <w:tcW w:w="5266" w:type="dxa"/>
            <w:tcBorders/>
            <w:vAlign w:val="bottom"/>
          </w:tcPr>
          <w:p>
            <w:pPr>
              <w:pStyle w:val="TableContents"/>
              <w:bidi w:val="0"/>
              <w:spacing w:lineRule="auto" w:line="240" w:before="0" w:after="0"/>
              <w:ind w:left="720" w:right="0" w:hanging="0"/>
              <w:jc w:val="left"/>
              <w:rPr>
                <w:rFonts w:ascii="Times New Roman" w:hAnsi="Times New Roman"/>
                <w:color w:val="000000"/>
                <w:sz w:val="20"/>
              </w:rPr>
            </w:pPr>
            <w:r>
              <w:rPr>
                <w:rFonts w:ascii="Times New Roman" w:hAnsi="Times New Roman"/>
                <w:color w:val="000000"/>
                <w:sz w:val="20"/>
              </w:rPr>
              <w:t>Noncash directors' compensation</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168"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1,191 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09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1,123  </w:t>
            </w:r>
          </w:p>
        </w:tc>
      </w:tr>
      <w:tr>
        <w:trPr/>
        <w:tc>
          <w:tcPr>
            <w:tcW w:w="5266" w:type="dxa"/>
            <w:tcBorders/>
            <w:vAlign w:val="bottom"/>
          </w:tcPr>
          <w:p>
            <w:pPr>
              <w:pStyle w:val="TableContents"/>
              <w:bidi w:val="0"/>
              <w:spacing w:lineRule="auto" w:line="240" w:before="0" w:after="0"/>
              <w:ind w:left="720" w:right="0" w:hanging="0"/>
              <w:jc w:val="left"/>
              <w:rPr>
                <w:rFonts w:ascii="Times New Roman" w:hAnsi="Times New Roman"/>
                <w:color w:val="000000"/>
                <w:sz w:val="20"/>
              </w:rPr>
            </w:pPr>
            <w:r>
              <w:rPr>
                <w:rFonts w:ascii="Times New Roman" w:hAnsi="Times New Roman"/>
                <w:color w:val="000000"/>
                <w:sz w:val="20"/>
              </w:rPr>
              <w:t>Legal settlements</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168"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548 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090" w:type="dxa"/>
            <w:tcBorders/>
            <w:vAlign w:val="bottom"/>
          </w:tcPr>
          <w:p>
            <w:pPr>
              <w:pStyle w:val="TableContents"/>
              <w:bidi w:val="0"/>
              <w:spacing w:lineRule="auto" w:line="240" w:before="0" w:after="0"/>
              <w:ind w:left="0" w:right="65" w:hanging="0"/>
              <w:jc w:val="right"/>
              <w:rPr>
                <w:color w:val="000000"/>
              </w:rPr>
            </w:pPr>
            <w:r>
              <w:rPr>
                <w:color w:val="000000"/>
              </w:rPr>
              <w:t> </w:t>
            </w:r>
            <w:r>
              <w:rPr>
                <w:rFonts w:ascii="Times New Roman" w:hAnsi="Times New Roman"/>
                <w:color w:val="000000"/>
                <w:sz w:val="20"/>
              </w:rPr>
              <w:t>-</w:t>
            </w:r>
          </w:p>
        </w:tc>
      </w:tr>
      <w:tr>
        <w:trPr/>
        <w:tc>
          <w:tcPr>
            <w:tcW w:w="5266" w:type="dxa"/>
            <w:tcBorders/>
            <w:vAlign w:val="bottom"/>
          </w:tcPr>
          <w:p>
            <w:pPr>
              <w:pStyle w:val="TableContents"/>
              <w:bidi w:val="0"/>
              <w:spacing w:lineRule="auto" w:line="240" w:before="0" w:after="0"/>
              <w:ind w:left="720" w:right="0" w:hanging="0"/>
              <w:jc w:val="left"/>
              <w:rPr>
                <w:rFonts w:ascii="Times New Roman" w:hAnsi="Times New Roman"/>
                <w:color w:val="000000"/>
                <w:sz w:val="20"/>
              </w:rPr>
            </w:pPr>
            <w:r>
              <w:rPr>
                <w:rFonts w:ascii="Times New Roman" w:hAnsi="Times New Roman"/>
                <w:color w:val="000000"/>
                <w:sz w:val="20"/>
              </w:rPr>
              <w:t>Amortization of debt issuance costs</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168"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163 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09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160  </w:t>
            </w:r>
          </w:p>
        </w:tc>
      </w:tr>
      <w:tr>
        <w:trPr/>
        <w:tc>
          <w:tcPr>
            <w:tcW w:w="5266" w:type="dxa"/>
            <w:tcBorders/>
            <w:vAlign w:val="bottom"/>
          </w:tcPr>
          <w:p>
            <w:pPr>
              <w:pStyle w:val="TableContents"/>
              <w:bidi w:val="0"/>
              <w:spacing w:lineRule="auto" w:line="240" w:before="0" w:after="0"/>
              <w:ind w:left="720" w:right="0" w:hanging="0"/>
              <w:jc w:val="left"/>
              <w:rPr>
                <w:rFonts w:ascii="Times New Roman" w:hAnsi="Times New Roman"/>
                <w:color w:val="000000"/>
                <w:sz w:val="20"/>
              </w:rPr>
            </w:pPr>
            <w:r>
              <w:rPr>
                <w:rFonts w:ascii="Times New Roman" w:hAnsi="Times New Roman"/>
                <w:color w:val="000000"/>
                <w:sz w:val="20"/>
              </w:rPr>
              <w:t>Changes in operating assets and liabilities, excluding</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168" w:type="dxa"/>
            <w:tcBorders/>
            <w:vAlign w:val="bottom"/>
          </w:tcPr>
          <w:p>
            <w:pPr>
              <w:pStyle w:val="TableContents"/>
              <w:bidi w:val="0"/>
              <w:spacing w:lineRule="auto" w:line="240" w:before="0" w:after="0"/>
              <w:ind w:left="0" w:right="0" w:hanging="0"/>
              <w:jc w:val="right"/>
              <w:rPr/>
            </w:pPr>
            <w:r>
              <w:rPr/>
              <w:t>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090" w:type="dxa"/>
            <w:tcBorders/>
            <w:vAlign w:val="bottom"/>
          </w:tcPr>
          <w:p>
            <w:pPr>
              <w:pStyle w:val="TableContents"/>
              <w:bidi w:val="0"/>
              <w:spacing w:lineRule="auto" w:line="240" w:before="0" w:after="0"/>
              <w:ind w:left="0" w:right="0" w:hanging="0"/>
              <w:jc w:val="right"/>
              <w:rPr/>
            </w:pPr>
            <w:r>
              <w:rPr/>
              <w:t> </w:t>
            </w:r>
          </w:p>
        </w:tc>
      </w:tr>
      <w:tr>
        <w:trPr/>
        <w:tc>
          <w:tcPr>
            <w:tcW w:w="5266" w:type="dxa"/>
            <w:tcBorders/>
            <w:vAlign w:val="bottom"/>
          </w:tcPr>
          <w:p>
            <w:pPr>
              <w:pStyle w:val="TableContents"/>
              <w:bidi w:val="0"/>
              <w:spacing w:lineRule="auto" w:line="240" w:before="0" w:after="0"/>
              <w:ind w:left="840" w:right="0" w:hanging="0"/>
              <w:jc w:val="left"/>
              <w:rPr>
                <w:rFonts w:ascii="Times New Roman" w:hAnsi="Times New Roman"/>
                <w:color w:val="000000"/>
                <w:sz w:val="20"/>
              </w:rPr>
            </w:pPr>
            <w:r>
              <w:rPr>
                <w:rFonts w:ascii="Times New Roman" w:hAnsi="Times New Roman"/>
                <w:color w:val="000000"/>
                <w:sz w:val="20"/>
              </w:rPr>
              <w:t>amounts acquired in business combinations:</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168" w:type="dxa"/>
            <w:tcBorders/>
            <w:vAlign w:val="bottom"/>
          </w:tcPr>
          <w:p>
            <w:pPr>
              <w:pStyle w:val="TableContents"/>
              <w:bidi w:val="0"/>
              <w:spacing w:lineRule="auto" w:line="240" w:before="0" w:after="0"/>
              <w:ind w:left="0" w:right="0" w:hanging="0"/>
              <w:jc w:val="right"/>
              <w:rPr/>
            </w:pPr>
            <w:r>
              <w:rPr/>
              <w:t>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090" w:type="dxa"/>
            <w:tcBorders/>
            <w:vAlign w:val="bottom"/>
          </w:tcPr>
          <w:p>
            <w:pPr>
              <w:pStyle w:val="TableContents"/>
              <w:bidi w:val="0"/>
              <w:spacing w:lineRule="auto" w:line="240" w:before="0" w:after="0"/>
              <w:ind w:left="0" w:right="0" w:hanging="0"/>
              <w:jc w:val="right"/>
              <w:rPr/>
            </w:pPr>
            <w:r>
              <w:rPr/>
              <w:t> </w:t>
            </w:r>
          </w:p>
        </w:tc>
      </w:tr>
      <w:tr>
        <w:trPr/>
        <w:tc>
          <w:tcPr>
            <w:tcW w:w="5266" w:type="dxa"/>
            <w:tcBorders/>
            <w:vAlign w:val="bottom"/>
          </w:tcPr>
          <w:p>
            <w:pPr>
              <w:pStyle w:val="TableContents"/>
              <w:bidi w:val="0"/>
              <w:spacing w:lineRule="auto" w:line="240" w:before="0" w:after="0"/>
              <w:ind w:left="960" w:right="0" w:hanging="0"/>
              <w:jc w:val="left"/>
              <w:rPr>
                <w:rFonts w:ascii="Times New Roman" w:hAnsi="Times New Roman"/>
                <w:color w:val="000000"/>
                <w:sz w:val="20"/>
              </w:rPr>
            </w:pPr>
            <w:r>
              <w:rPr>
                <w:rFonts w:ascii="Times New Roman" w:hAnsi="Times New Roman"/>
                <w:color w:val="000000"/>
                <w:sz w:val="20"/>
              </w:rPr>
              <w:t>Increase in accounts receivable</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168"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(6,716)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09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(13,466) </w:t>
            </w:r>
          </w:p>
        </w:tc>
      </w:tr>
      <w:tr>
        <w:trPr/>
        <w:tc>
          <w:tcPr>
            <w:tcW w:w="5266" w:type="dxa"/>
            <w:tcBorders/>
            <w:vAlign w:val="bottom"/>
          </w:tcPr>
          <w:p>
            <w:pPr>
              <w:pStyle w:val="TableContents"/>
              <w:bidi w:val="0"/>
              <w:spacing w:lineRule="auto" w:line="240" w:before="0" w:after="0"/>
              <w:ind w:left="960" w:right="0" w:hanging="0"/>
              <w:jc w:val="left"/>
              <w:rPr>
                <w:rFonts w:ascii="Times New Roman" w:hAnsi="Times New Roman"/>
                <w:color w:val="000000"/>
                <w:sz w:val="20"/>
              </w:rPr>
            </w:pPr>
            <w:r>
              <w:rPr>
                <w:rFonts w:ascii="Times New Roman" w:hAnsi="Times New Roman"/>
                <w:color w:val="000000"/>
                <w:sz w:val="20"/>
              </w:rPr>
              <w:t>Increase in inventories</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168"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(87)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09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(955) </w:t>
            </w:r>
          </w:p>
        </w:tc>
      </w:tr>
      <w:tr>
        <w:trPr/>
        <w:tc>
          <w:tcPr>
            <w:tcW w:w="5266" w:type="dxa"/>
            <w:tcBorders/>
            <w:vAlign w:val="bottom"/>
          </w:tcPr>
          <w:p>
            <w:pPr>
              <w:pStyle w:val="TableContents"/>
              <w:bidi w:val="0"/>
              <w:spacing w:lineRule="auto" w:line="240" w:before="0" w:after="0"/>
              <w:ind w:left="960" w:right="0" w:hanging="0"/>
              <w:jc w:val="left"/>
              <w:rPr>
                <w:rFonts w:ascii="Times New Roman" w:hAnsi="Times New Roman"/>
                <w:color w:val="000000"/>
                <w:sz w:val="20"/>
              </w:rPr>
            </w:pPr>
            <w:r>
              <w:rPr>
                <w:rFonts w:ascii="Times New Roman" w:hAnsi="Times New Roman"/>
                <w:color w:val="000000"/>
                <w:sz w:val="20"/>
              </w:rPr>
              <w:t>Increase in prepaid expenses</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168"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(10,285)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09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(7,232) </w:t>
            </w:r>
          </w:p>
        </w:tc>
      </w:tr>
      <w:tr>
        <w:trPr/>
        <w:tc>
          <w:tcPr>
            <w:tcW w:w="5266" w:type="dxa"/>
            <w:tcBorders/>
            <w:vAlign w:val="bottom"/>
          </w:tcPr>
          <w:p>
            <w:pPr>
              <w:pStyle w:val="TableContents"/>
              <w:bidi w:val="0"/>
              <w:spacing w:lineRule="auto" w:line="240" w:before="0" w:after="0"/>
              <w:ind w:left="960" w:right="0" w:hanging="0"/>
              <w:jc w:val="left"/>
              <w:rPr>
                <w:rFonts w:ascii="Times New Roman" w:hAnsi="Times New Roman"/>
                <w:color w:val="000000"/>
                <w:sz w:val="20"/>
              </w:rPr>
            </w:pPr>
            <w:r>
              <w:rPr>
                <w:rFonts w:ascii="Times New Roman" w:hAnsi="Times New Roman"/>
                <w:color w:val="000000"/>
                <w:sz w:val="20"/>
              </w:rPr>
              <w:t>Increase/(decrease) in accounts payable and</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168" w:type="dxa"/>
            <w:tcBorders/>
            <w:vAlign w:val="bottom"/>
          </w:tcPr>
          <w:p>
            <w:pPr>
              <w:pStyle w:val="TableContents"/>
              <w:bidi w:val="0"/>
              <w:spacing w:lineRule="auto" w:line="240" w:before="0" w:after="0"/>
              <w:ind w:left="0" w:right="0" w:hanging="0"/>
              <w:jc w:val="right"/>
              <w:rPr/>
            </w:pPr>
            <w:r>
              <w:rPr/>
              <w:t>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090" w:type="dxa"/>
            <w:tcBorders/>
            <w:vAlign w:val="bottom"/>
          </w:tcPr>
          <w:p>
            <w:pPr>
              <w:pStyle w:val="TableContents"/>
              <w:bidi w:val="0"/>
              <w:spacing w:lineRule="auto" w:line="240" w:before="0" w:after="0"/>
              <w:ind w:left="0" w:right="0" w:hanging="0"/>
              <w:jc w:val="right"/>
              <w:rPr/>
            </w:pPr>
            <w:r>
              <w:rPr/>
              <w:t> </w:t>
            </w:r>
          </w:p>
        </w:tc>
      </w:tr>
      <w:tr>
        <w:trPr/>
        <w:tc>
          <w:tcPr>
            <w:tcW w:w="5266" w:type="dxa"/>
            <w:tcBorders/>
            <w:vAlign w:val="bottom"/>
          </w:tcPr>
          <w:p>
            <w:pPr>
              <w:pStyle w:val="TableContents"/>
              <w:bidi w:val="0"/>
              <w:spacing w:lineRule="auto" w:line="240" w:before="0" w:after="0"/>
              <w:ind w:left="1080" w:right="0" w:hanging="0"/>
              <w:jc w:val="left"/>
              <w:rPr>
                <w:rFonts w:ascii="Times New Roman" w:hAnsi="Times New Roman"/>
                <w:color w:val="000000"/>
                <w:sz w:val="20"/>
              </w:rPr>
            </w:pPr>
            <w:r>
              <w:rPr>
                <w:rFonts w:ascii="Times New Roman" w:hAnsi="Times New Roman"/>
                <w:color w:val="000000"/>
                <w:sz w:val="20"/>
              </w:rPr>
              <w:t>other current liabilities</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168"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9,174 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09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(12,449) </w:t>
            </w:r>
          </w:p>
        </w:tc>
      </w:tr>
      <w:tr>
        <w:trPr/>
        <w:tc>
          <w:tcPr>
            <w:tcW w:w="5266" w:type="dxa"/>
            <w:tcBorders/>
            <w:vAlign w:val="bottom"/>
          </w:tcPr>
          <w:p>
            <w:pPr>
              <w:pStyle w:val="TableContents"/>
              <w:bidi w:val="0"/>
              <w:spacing w:lineRule="auto" w:line="240" w:before="0" w:after="0"/>
              <w:ind w:left="960" w:right="0" w:hanging="0"/>
              <w:jc w:val="left"/>
              <w:rPr>
                <w:rFonts w:ascii="Times New Roman" w:hAnsi="Times New Roman"/>
                <w:color w:val="000000"/>
                <w:sz w:val="20"/>
              </w:rPr>
            </w:pPr>
            <w:r>
              <w:rPr>
                <w:rFonts w:ascii="Times New Roman" w:hAnsi="Times New Roman"/>
                <w:color w:val="000000"/>
                <w:sz w:val="20"/>
              </w:rPr>
              <w:t>Change in current income taxes</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168"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(8,985)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09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(10,764) </w:t>
            </w:r>
          </w:p>
        </w:tc>
      </w:tr>
      <w:tr>
        <w:trPr/>
        <w:tc>
          <w:tcPr>
            <w:tcW w:w="5266" w:type="dxa"/>
            <w:tcBorders/>
            <w:vAlign w:val="bottom"/>
          </w:tcPr>
          <w:p>
            <w:pPr>
              <w:pStyle w:val="TableContents"/>
              <w:bidi w:val="0"/>
              <w:spacing w:lineRule="auto" w:line="240" w:before="0" w:after="0"/>
              <w:ind w:left="960" w:right="0" w:hanging="0"/>
              <w:jc w:val="left"/>
              <w:rPr>
                <w:rFonts w:ascii="Times New Roman" w:hAnsi="Times New Roman"/>
                <w:color w:val="000000"/>
                <w:sz w:val="20"/>
              </w:rPr>
            </w:pPr>
            <w:r>
              <w:rPr>
                <w:rFonts w:ascii="Times New Roman" w:hAnsi="Times New Roman"/>
                <w:color w:val="000000"/>
                <w:sz w:val="20"/>
              </w:rPr>
              <w:t>Net change in lease assets and liabilities</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168"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292 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09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(72) </w:t>
            </w:r>
          </w:p>
        </w:tc>
      </w:tr>
      <w:tr>
        <w:trPr/>
        <w:tc>
          <w:tcPr>
            <w:tcW w:w="5266" w:type="dxa"/>
            <w:tcBorders/>
            <w:vAlign w:val="bottom"/>
          </w:tcPr>
          <w:p>
            <w:pPr>
              <w:pStyle w:val="TableContents"/>
              <w:bidi w:val="0"/>
              <w:spacing w:lineRule="auto" w:line="240" w:before="0" w:after="0"/>
              <w:ind w:left="960" w:right="0" w:hanging="0"/>
              <w:jc w:val="left"/>
              <w:rPr>
                <w:rFonts w:ascii="Times New Roman" w:hAnsi="Times New Roman"/>
                <w:color w:val="000000"/>
                <w:sz w:val="20"/>
              </w:rPr>
            </w:pPr>
            <w:r>
              <w:rPr>
                <w:rFonts w:ascii="Times New Roman" w:hAnsi="Times New Roman"/>
                <w:color w:val="000000"/>
                <w:sz w:val="20"/>
              </w:rPr>
              <w:t>(Increase)/decrease in other assets</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168"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(9,489)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09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48,426  </w:t>
            </w:r>
          </w:p>
        </w:tc>
      </w:tr>
      <w:tr>
        <w:trPr/>
        <w:tc>
          <w:tcPr>
            <w:tcW w:w="5266" w:type="dxa"/>
            <w:tcBorders/>
            <w:vAlign w:val="bottom"/>
          </w:tcPr>
          <w:p>
            <w:pPr>
              <w:pStyle w:val="TableContents"/>
              <w:bidi w:val="0"/>
              <w:spacing w:lineRule="auto" w:line="240" w:before="0" w:after="0"/>
              <w:ind w:left="960" w:right="0" w:hanging="0"/>
              <w:jc w:val="left"/>
              <w:rPr>
                <w:rFonts w:ascii="Times New Roman" w:hAnsi="Times New Roman"/>
                <w:color w:val="000000"/>
                <w:sz w:val="20"/>
              </w:rPr>
            </w:pPr>
            <w:r>
              <w:rPr>
                <w:rFonts w:ascii="Times New Roman" w:hAnsi="Times New Roman"/>
                <w:color w:val="000000"/>
                <w:sz w:val="20"/>
              </w:rPr>
              <w:t>Increase in other liabilities</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168"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11,191 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09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1,521  </w:t>
            </w:r>
          </w:p>
        </w:tc>
      </w:tr>
      <w:tr>
        <w:trPr/>
        <w:tc>
          <w:tcPr>
            <w:tcW w:w="5266" w:type="dxa"/>
            <w:tcBorders/>
            <w:vAlign w:val="bottom"/>
          </w:tcPr>
          <w:p>
            <w:pPr>
              <w:pStyle w:val="TableContents"/>
              <w:bidi w:val="0"/>
              <w:spacing w:lineRule="auto" w:line="240" w:before="0" w:after="0"/>
              <w:ind w:left="720" w:right="0" w:hanging="0"/>
              <w:jc w:val="left"/>
              <w:rPr>
                <w:rFonts w:ascii="Times New Roman" w:hAnsi="Times New Roman"/>
                <w:color w:val="000000"/>
                <w:sz w:val="20"/>
              </w:rPr>
            </w:pPr>
            <w:r>
              <w:rPr>
                <w:rFonts w:ascii="Times New Roman" w:hAnsi="Times New Roman"/>
                <w:color w:val="000000"/>
                <w:sz w:val="20"/>
              </w:rPr>
              <w:t>Other sources</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68"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498 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9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194  </w:t>
            </w:r>
          </w:p>
        </w:tc>
      </w:tr>
      <w:tr>
        <w:trPr/>
        <w:tc>
          <w:tcPr>
            <w:tcW w:w="5266" w:type="dxa"/>
            <w:tcBorders/>
            <w:vAlign w:val="bottom"/>
          </w:tcPr>
          <w:p>
            <w:pPr>
              <w:pStyle w:val="TableContents"/>
              <w:bidi w:val="0"/>
              <w:spacing w:lineRule="auto" w:line="240" w:before="0" w:after="0"/>
              <w:ind w:left="840" w:right="0" w:hanging="0"/>
              <w:jc w:val="left"/>
              <w:rPr>
                <w:rFonts w:ascii="Times New Roman" w:hAnsi="Times New Roman"/>
                <w:color w:val="000000"/>
                <w:sz w:val="20"/>
              </w:rPr>
            </w:pPr>
            <w:r>
              <w:rPr>
                <w:rFonts w:ascii="Times New Roman" w:hAnsi="Times New Roman"/>
                <w:color w:val="000000"/>
                <w:sz w:val="20"/>
              </w:rPr>
              <w:t>Net cash provided by operating activities</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168"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173,032 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090"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171,350  </w:t>
            </w:r>
          </w:p>
        </w:tc>
      </w:tr>
      <w:tr>
        <w:trPr/>
        <w:tc>
          <w:tcPr>
            <w:tcW w:w="5266" w:type="dxa"/>
            <w:tcBorders/>
            <w:vAlign w:val="bottom"/>
          </w:tcPr>
          <w:p>
            <w:pPr>
              <w:pStyle w:val="TableContents"/>
              <w:bidi w:val="0"/>
              <w:spacing w:lineRule="auto" w:line="240" w:before="0" w:after="0"/>
              <w:ind w:left="0" w:right="0" w:hanging="0"/>
              <w:jc w:val="left"/>
              <w:rPr>
                <w:rFonts w:ascii="Times New Roman" w:hAnsi="Times New Roman"/>
                <w:b/>
                <w:color w:val="000000"/>
                <w:sz w:val="20"/>
              </w:rPr>
            </w:pPr>
            <w:r>
              <w:rPr>
                <w:rFonts w:ascii="Times New Roman" w:hAnsi="Times New Roman"/>
                <w:b/>
                <w:color w:val="000000"/>
                <w:sz w:val="20"/>
              </w:rPr>
              <w:t>Cash Flows from Investing Activities</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68" w:type="dxa"/>
            <w:tcBorders>
              <w:top w:val="single" w:sz="8" w:space="0" w:color="000000"/>
            </w:tcBorders>
            <w:tcMar>
              <w:top w:w="28" w:type="dxa"/>
            </w:tcMar>
            <w:vAlign w:val="bottom"/>
          </w:tcPr>
          <w:p>
            <w:pPr>
              <w:pStyle w:val="TableContents"/>
              <w:bidi w:val="0"/>
              <w:spacing w:lineRule="auto" w:line="240" w:before="0" w:after="0"/>
              <w:ind w:left="0" w:right="0" w:hanging="0"/>
              <w:jc w:val="right"/>
              <w:rPr/>
            </w:pPr>
            <w:r>
              <w:rPr/>
              <w:t>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0" w:type="dxa"/>
            <w:tcBorders>
              <w:top w:val="single" w:sz="8" w:space="0" w:color="000000"/>
            </w:tcBorders>
            <w:tcMar>
              <w:top w:w="28" w:type="dxa"/>
            </w:tcMar>
            <w:vAlign w:val="bottom"/>
          </w:tcPr>
          <w:p>
            <w:pPr>
              <w:pStyle w:val="TableContents"/>
              <w:bidi w:val="0"/>
              <w:spacing w:lineRule="auto" w:line="240" w:before="0" w:after="0"/>
              <w:ind w:left="0" w:right="0" w:hanging="0"/>
              <w:jc w:val="right"/>
              <w:rPr/>
            </w:pPr>
            <w:r>
              <w:rPr/>
              <w:t> </w:t>
            </w:r>
          </w:p>
        </w:tc>
      </w:tr>
      <w:tr>
        <w:trPr/>
        <w:tc>
          <w:tcPr>
            <w:tcW w:w="5266"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Business combinations, net of cash acquired</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168"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(33,540)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09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(225) </w:t>
            </w:r>
          </w:p>
        </w:tc>
      </w:tr>
      <w:tr>
        <w:trPr/>
        <w:tc>
          <w:tcPr>
            <w:tcW w:w="5266"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Capital expenditures</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color w:val="000000"/>
              </w:rPr>
            </w:pPr>
            <w:r>
              <w:rPr>
                <w:color w:val="000000"/>
              </w:rPr>
              <w:t>   </w:t>
            </w:r>
          </w:p>
        </w:tc>
        <w:tc>
          <w:tcPr>
            <w:tcW w:w="1168"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(32,639)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color w:val="000000"/>
              </w:rPr>
            </w:pPr>
            <w:r>
              <w:rPr>
                <w:color w:val="000000"/>
              </w:rPr>
              <w:t>   </w:t>
            </w:r>
          </w:p>
        </w:tc>
        <w:tc>
          <w:tcPr>
            <w:tcW w:w="109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(29,088) </w:t>
            </w:r>
          </w:p>
        </w:tc>
      </w:tr>
      <w:tr>
        <w:trPr/>
        <w:tc>
          <w:tcPr>
            <w:tcW w:w="5266"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Proceeds from sale of fixed assets</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168"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422 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09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480  </w:t>
            </w:r>
          </w:p>
        </w:tc>
      </w:tr>
      <w:tr>
        <w:trPr/>
        <w:tc>
          <w:tcPr>
            <w:tcW w:w="5266"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Other uses</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68"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(270)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9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(322) </w:t>
            </w:r>
          </w:p>
        </w:tc>
      </w:tr>
      <w:tr>
        <w:trPr/>
        <w:tc>
          <w:tcPr>
            <w:tcW w:w="5266" w:type="dxa"/>
            <w:tcBorders/>
            <w:vAlign w:val="bottom"/>
          </w:tcPr>
          <w:p>
            <w:pPr>
              <w:pStyle w:val="TableContents"/>
              <w:bidi w:val="0"/>
              <w:spacing w:lineRule="auto" w:line="240" w:before="0" w:after="0"/>
              <w:ind w:left="840" w:right="0" w:hanging="0"/>
              <w:jc w:val="left"/>
              <w:rPr>
                <w:rFonts w:ascii="Times New Roman" w:hAnsi="Times New Roman"/>
                <w:color w:val="000000"/>
                <w:sz w:val="20"/>
              </w:rPr>
            </w:pPr>
            <w:r>
              <w:rPr>
                <w:rFonts w:ascii="Times New Roman" w:hAnsi="Times New Roman"/>
                <w:color w:val="000000"/>
                <w:sz w:val="20"/>
              </w:rPr>
              <w:t>Net cash used by investing activities</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168"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(66,027)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090"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(29,155) </w:t>
            </w:r>
          </w:p>
        </w:tc>
      </w:tr>
      <w:tr>
        <w:trPr/>
        <w:tc>
          <w:tcPr>
            <w:tcW w:w="5266" w:type="dxa"/>
            <w:tcBorders/>
            <w:vAlign w:val="bottom"/>
          </w:tcPr>
          <w:p>
            <w:pPr>
              <w:pStyle w:val="TableContents"/>
              <w:bidi w:val="0"/>
              <w:spacing w:lineRule="auto" w:line="240" w:before="0" w:after="0"/>
              <w:ind w:left="0" w:right="0" w:hanging="0"/>
              <w:jc w:val="left"/>
              <w:rPr>
                <w:rFonts w:ascii="Times New Roman" w:hAnsi="Times New Roman"/>
                <w:b/>
                <w:color w:val="000000"/>
                <w:sz w:val="20"/>
              </w:rPr>
            </w:pPr>
            <w:r>
              <w:rPr>
                <w:rFonts w:ascii="Times New Roman" w:hAnsi="Times New Roman"/>
                <w:b/>
                <w:color w:val="000000"/>
                <w:sz w:val="20"/>
              </w:rPr>
              <w:t>Cash Flows from Financing Activities</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68" w:type="dxa"/>
            <w:tcBorders>
              <w:top w:val="single" w:sz="8" w:space="0" w:color="000000"/>
            </w:tcBorders>
            <w:tcMar>
              <w:top w:w="28" w:type="dxa"/>
            </w:tcMar>
            <w:vAlign w:val="bottom"/>
          </w:tcPr>
          <w:p>
            <w:pPr>
              <w:pStyle w:val="TableContents"/>
              <w:bidi w:val="0"/>
              <w:spacing w:lineRule="auto" w:line="240" w:before="0" w:after="0"/>
              <w:ind w:left="0" w:right="0" w:hanging="0"/>
              <w:jc w:val="right"/>
              <w:rPr/>
            </w:pPr>
            <w:r>
              <w:rPr/>
              <w:t>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0" w:type="dxa"/>
            <w:tcBorders>
              <w:top w:val="single" w:sz="8" w:space="0" w:color="000000"/>
            </w:tcBorders>
            <w:tcMar>
              <w:top w:w="28" w:type="dxa"/>
            </w:tcMar>
            <w:vAlign w:val="bottom"/>
          </w:tcPr>
          <w:p>
            <w:pPr>
              <w:pStyle w:val="TableContents"/>
              <w:bidi w:val="0"/>
              <w:spacing w:lineRule="auto" w:line="240" w:before="0" w:after="0"/>
              <w:ind w:left="0" w:right="0" w:hanging="0"/>
              <w:jc w:val="right"/>
              <w:rPr/>
            </w:pPr>
            <w:r>
              <w:rPr/>
              <w:t> </w:t>
            </w:r>
          </w:p>
        </w:tc>
      </w:tr>
      <w:tr>
        <w:trPr/>
        <w:tc>
          <w:tcPr>
            <w:tcW w:w="5266"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Proceeds from revolving line of credit</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168"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491,480 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090" w:type="dxa"/>
            <w:tcBorders/>
            <w:vAlign w:val="bottom"/>
          </w:tcPr>
          <w:p>
            <w:pPr>
              <w:pStyle w:val="TableContents"/>
              <w:bidi w:val="0"/>
              <w:spacing w:lineRule="auto" w:line="240" w:before="0" w:after="0"/>
              <w:ind w:left="0" w:right="65" w:hanging="0"/>
              <w:jc w:val="right"/>
              <w:rPr>
                <w:color w:val="000000"/>
              </w:rPr>
            </w:pPr>
            <w:r>
              <w:rPr>
                <w:color w:val="000000"/>
              </w:rPr>
              <w:t> </w:t>
            </w:r>
            <w:r>
              <w:rPr>
                <w:rFonts w:ascii="Times New Roman" w:hAnsi="Times New Roman"/>
                <w:color w:val="000000"/>
                <w:sz w:val="20"/>
              </w:rPr>
              <w:t>-</w:t>
            </w:r>
          </w:p>
        </w:tc>
      </w:tr>
      <w:tr>
        <w:trPr/>
        <w:tc>
          <w:tcPr>
            <w:tcW w:w="5266"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Payments on revolving line of credit</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168"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(351,480)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090" w:type="dxa"/>
            <w:tcBorders/>
            <w:vAlign w:val="bottom"/>
          </w:tcPr>
          <w:p>
            <w:pPr>
              <w:pStyle w:val="TableContents"/>
              <w:bidi w:val="0"/>
              <w:spacing w:lineRule="auto" w:line="240" w:before="0" w:after="0"/>
              <w:ind w:left="0" w:right="65" w:hanging="0"/>
              <w:jc w:val="right"/>
              <w:rPr>
                <w:color w:val="000000"/>
              </w:rPr>
            </w:pPr>
            <w:r>
              <w:rPr>
                <w:color w:val="000000"/>
              </w:rPr>
              <w:t> </w:t>
            </w:r>
            <w:r>
              <w:rPr>
                <w:rFonts w:ascii="Times New Roman" w:hAnsi="Times New Roman"/>
                <w:color w:val="000000"/>
                <w:sz w:val="20"/>
              </w:rPr>
              <w:t>-</w:t>
            </w:r>
          </w:p>
        </w:tc>
      </w:tr>
      <w:tr>
        <w:trPr/>
        <w:tc>
          <w:tcPr>
            <w:tcW w:w="5266"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Purchases of treasury stock</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168"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(287,521)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09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(76,168) </w:t>
            </w:r>
          </w:p>
        </w:tc>
      </w:tr>
      <w:tr>
        <w:trPr/>
        <w:tc>
          <w:tcPr>
            <w:tcW w:w="5266"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Change in cash overdrafts payable</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168"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23,305 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09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309  </w:t>
            </w:r>
          </w:p>
        </w:tc>
      </w:tr>
      <w:tr>
        <w:trPr/>
        <w:tc>
          <w:tcPr>
            <w:tcW w:w="5266"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Dividends paid</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168"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(16,049)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09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(14,542) </w:t>
            </w:r>
          </w:p>
        </w:tc>
      </w:tr>
      <w:tr>
        <w:trPr/>
        <w:tc>
          <w:tcPr>
            <w:tcW w:w="5266"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Proceeds from exercise of stock options</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168"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2,731 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09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27,152  </w:t>
            </w:r>
          </w:p>
        </w:tc>
      </w:tr>
      <w:tr>
        <w:trPr/>
        <w:tc>
          <w:tcPr>
            <w:tcW w:w="5266"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Capital stock surrendered to pay taxes on stock-based compensation</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168"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(1,482)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09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(8,484) </w:t>
            </w:r>
          </w:p>
        </w:tc>
      </w:tr>
      <w:tr>
        <w:trPr/>
        <w:tc>
          <w:tcPr>
            <w:tcW w:w="5266"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Debt issuance costs</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168"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(1,349)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090" w:type="dxa"/>
            <w:tcBorders/>
            <w:vAlign w:val="bottom"/>
          </w:tcPr>
          <w:p>
            <w:pPr>
              <w:pStyle w:val="TableContents"/>
              <w:bidi w:val="0"/>
              <w:spacing w:lineRule="auto" w:line="240" w:before="0" w:after="0"/>
              <w:ind w:left="0" w:right="65" w:hanging="0"/>
              <w:jc w:val="right"/>
              <w:rPr>
                <w:color w:val="000000"/>
              </w:rPr>
            </w:pPr>
            <w:r>
              <w:rPr>
                <w:color w:val="000000"/>
              </w:rPr>
              <w:t> </w:t>
            </w:r>
            <w:r>
              <w:rPr>
                <w:rFonts w:ascii="Times New Roman" w:hAnsi="Times New Roman"/>
                <w:color w:val="000000"/>
                <w:sz w:val="20"/>
              </w:rPr>
              <w:t>-</w:t>
            </w:r>
          </w:p>
        </w:tc>
      </w:tr>
      <w:tr>
        <w:trPr/>
        <w:tc>
          <w:tcPr>
            <w:tcW w:w="5266"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Other (uses)/sources</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68"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(933)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9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1,092  </w:t>
            </w:r>
          </w:p>
        </w:tc>
      </w:tr>
      <w:tr>
        <w:trPr/>
        <w:tc>
          <w:tcPr>
            <w:tcW w:w="5266" w:type="dxa"/>
            <w:tcBorders/>
            <w:vAlign w:val="bottom"/>
          </w:tcPr>
          <w:p>
            <w:pPr>
              <w:pStyle w:val="TableContents"/>
              <w:bidi w:val="0"/>
              <w:spacing w:lineRule="auto" w:line="240" w:before="0" w:after="0"/>
              <w:ind w:left="840" w:right="0" w:hanging="0"/>
              <w:jc w:val="left"/>
              <w:rPr>
                <w:rFonts w:ascii="Times New Roman" w:hAnsi="Times New Roman"/>
                <w:color w:val="000000"/>
                <w:sz w:val="20"/>
              </w:rPr>
            </w:pPr>
            <w:r>
              <w:rPr>
                <w:rFonts w:ascii="Times New Roman" w:hAnsi="Times New Roman"/>
                <w:color w:val="000000"/>
                <w:sz w:val="20"/>
              </w:rPr>
              <w:t>Net cash used by financing activities</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168"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(141,298)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090"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(70,641) </w:t>
            </w:r>
          </w:p>
        </w:tc>
      </w:tr>
      <w:tr>
        <w:trPr/>
        <w:tc>
          <w:tcPr>
            <w:tcW w:w="5266" w:type="dxa"/>
            <w:tcBorders/>
            <w:vAlign w:val="bottom"/>
          </w:tcPr>
          <w:p>
            <w:pPr>
              <w:pStyle w:val="TableContents"/>
              <w:bidi w:val="0"/>
              <w:spacing w:lineRule="auto" w:line="240" w:before="0" w:after="0"/>
              <w:ind w:left="0" w:right="0" w:hanging="0"/>
              <w:jc w:val="left"/>
              <w:rPr>
                <w:rFonts w:ascii="Times New Roman" w:hAnsi="Times New Roman"/>
                <w:b/>
                <w:color w:val="000000"/>
                <w:sz w:val="20"/>
              </w:rPr>
            </w:pPr>
            <w:r>
              <w:rPr>
                <w:rFonts w:ascii="Times New Roman" w:hAnsi="Times New Roman"/>
                <w:b/>
                <w:color w:val="000000"/>
                <w:sz w:val="20"/>
              </w:rPr>
              <w:t>(Decrease)/increase in Cash and Cash Equivalents</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68"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(34,293)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71,554  </w:t>
            </w:r>
          </w:p>
        </w:tc>
      </w:tr>
      <w:tr>
        <w:trPr/>
        <w:tc>
          <w:tcPr>
            <w:tcW w:w="5266"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Cash and cash equivalents at beginning of year</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68"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74,515 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9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178,350  </w:t>
            </w:r>
          </w:p>
        </w:tc>
      </w:tr>
      <w:tr>
        <w:trPr/>
        <w:tc>
          <w:tcPr>
            <w:tcW w:w="5266"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Cash and cash equivalents at end of period</w:t>
            </w:r>
          </w:p>
        </w:tc>
        <w:tc>
          <w:tcPr>
            <w:tcW w:w="60" w:type="dxa"/>
            <w:tcBorders/>
            <w:vAlign w:val="bottom"/>
          </w:tcPr>
          <w:p>
            <w:pPr>
              <w:pStyle w:val="TableContents"/>
              <w:bidi w:val="0"/>
              <w:spacing w:lineRule="auto" w:line="240" w:before="0" w:after="0"/>
              <w:ind w:left="0" w:right="0" w:hanging="0"/>
              <w:jc w:val="left"/>
              <w:rPr/>
            </w:pPr>
            <w:r>
              <w:rPr/>
              <w:t> </w:t>
            </w:r>
          </w:p>
        </w:tc>
        <w:tc>
          <w:tcPr>
            <w:tcW w:w="24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b/>
                <w:color w:val="000000"/>
                <w:sz w:val="20"/>
              </w:rPr>
            </w:pPr>
            <w:r>
              <w:rPr>
                <w:rFonts w:ascii="Times New Roman" w:hAnsi="Times New Roman"/>
                <w:b/>
                <w:color w:val="000000"/>
                <w:sz w:val="20"/>
              </w:rPr>
              <w:t>$</w:t>
            </w:r>
          </w:p>
        </w:tc>
        <w:tc>
          <w:tcPr>
            <w:tcW w:w="1168"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40,222  </w:t>
            </w:r>
          </w:p>
        </w:tc>
        <w:tc>
          <w:tcPr>
            <w:tcW w:w="81" w:type="dxa"/>
            <w:tcBorders/>
            <w:vAlign w:val="bottom"/>
          </w:tcPr>
          <w:p>
            <w:pPr>
              <w:pStyle w:val="TableContents"/>
              <w:bidi w:val="0"/>
              <w:spacing w:lineRule="auto" w:line="240" w:before="0" w:after="0"/>
              <w:ind w:left="0" w:right="0" w:hanging="0"/>
              <w:jc w:val="left"/>
              <w:rPr/>
            </w:pPr>
            <w:r>
              <w:rPr/>
              <w:t> </w:t>
            </w:r>
          </w:p>
        </w:tc>
        <w:tc>
          <w:tcPr>
            <w:tcW w:w="24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b/>
                <w:color w:val="000000"/>
                <w:sz w:val="20"/>
              </w:rPr>
            </w:pPr>
            <w:r>
              <w:rPr>
                <w:rFonts w:ascii="Times New Roman" w:hAnsi="Times New Roman"/>
                <w:b/>
                <w:color w:val="000000"/>
                <w:sz w:val="20"/>
              </w:rPr>
              <w:t>$</w:t>
            </w:r>
          </w:p>
        </w:tc>
        <w:tc>
          <w:tcPr>
            <w:tcW w:w="1090"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249,904  </w:t>
            </w:r>
          </w:p>
        </w:tc>
      </w:tr>
    </w:tbl>
    <w:p>
      <w:pPr>
        <w:pStyle w:val="TextBody"/>
        <w:bidi w:val="0"/>
        <w:spacing w:lineRule="auto" w:line="240" w:before="0" w:after="0"/>
        <w:ind w:left="720" w:right="1340" w:hanging="0"/>
        <w:jc w:val="left"/>
        <w:rPr>
          <w:rFonts w:cs="Times New Roman"/>
          <w:szCs w:val="24"/>
        </w:rPr>
      </w:pPr>
      <w:r>
        <w:rPr>
          <w:rFonts w:cs="Times New Roman"/>
          <w:szCs w:val="24"/>
        </w:rPr>
        <w:t xml:space="preserve">﻿ </w:t>
      </w:r>
    </w:p>
    <w:p>
      <w:pPr>
        <w:pStyle w:val="TextBody"/>
        <w:bidi w:val="0"/>
        <w:spacing w:lineRule="auto" w:line="427" w:before="0" w:after="0"/>
        <w:ind w:left="720" w:right="1340" w:hanging="0"/>
        <w:jc w:val="center"/>
        <w:rPr>
          <w:rFonts w:cs="Times New Roman"/>
          <w:szCs w:val="2"/>
        </w:rPr>
      </w:pPr>
      <w:r>
        <w:rPr>
          <w:rFonts w:cs="Times New Roman"/>
          <w:szCs w:val="2"/>
        </w:rPr>
        <w:t xml:space="preserve">﻿ </w:t>
      </w:r>
    </w:p>
    <w:p>
      <w:pPr>
        <w:pStyle w:val="TextBody"/>
        <w:bidi w:val="0"/>
        <w:spacing w:lineRule="auto" w:line="427" w:before="0" w:after="0"/>
        <w:ind w:left="720" w:right="1340" w:hanging="0"/>
        <w:jc w:val="center"/>
        <w:rPr>
          <w:rFonts w:cs="Times New Roman"/>
          <w:szCs w:val="2"/>
        </w:rPr>
      </w:pPr>
      <w:r>
        <w:rPr>
          <w:rFonts w:cs="Times New Roman"/>
          <w:szCs w:val="2"/>
        </w:rPr>
        <w:t xml:space="preserve">﻿ </w:t>
      </w:r>
    </w:p>
    <w:p>
      <w:pPr>
        <w:pStyle w:val="TextBody"/>
        <w:bidi w:val="0"/>
        <w:spacing w:lineRule="auto" w:line="427" w:before="0" w:after="0"/>
        <w:ind w:left="720" w:right="1340" w:hanging="0"/>
        <w:jc w:val="center"/>
        <w:rPr>
          <w:rFonts w:cs="Times New Roman"/>
          <w:szCs w:val="2"/>
        </w:rPr>
      </w:pPr>
      <w:r>
        <w:rPr>
          <w:rFonts w:cs="Times New Roman"/>
          <w:szCs w:val="2"/>
        </w:rPr>
        <w:t xml:space="preserve">﻿ </w:t>
      </w:r>
    </w:p>
    <w:p>
      <w:pPr>
        <w:pStyle w:val="HorizontalLine"/>
        <w:pBdr>
          <w:bottom w:val="double" w:sz="6" w:space="0" w:color="808080"/>
        </w:pBdr>
        <w:bidi w:val="0"/>
        <w:ind w:left="720" w:right="1340" w:hanging="0"/>
        <w:jc w:val="left"/>
        <w:rPr/>
      </w:pPr>
      <w:r>
        <w:rPr/>
      </w:r>
    </w:p>
    <w:p>
      <w:pPr>
        <w:pStyle w:val="TextBody"/>
        <w:bidi w:val="0"/>
        <w:ind w:left="720" w:right="1340" w:hanging="0"/>
        <w:jc w:val="left"/>
        <w:rPr/>
      </w:pPr>
      <w:r>
        <w:rPr/>
        <w:t> </w:t>
      </w:r>
      <w:r>
        <w:br w:type="page"/>
      </w:r>
    </w:p>
    <w:p>
      <w:pPr>
        <w:pStyle w:val="TextBody"/>
        <w:bidi w:val="0"/>
        <w:spacing w:lineRule="auto" w:line="256" w:before="0" w:after="0"/>
        <w:ind w:left="720" w:right="1340" w:hanging="0"/>
        <w:jc w:val="left"/>
        <w:rPr>
          <w:rFonts w:cs="Times New Roman"/>
          <w:szCs w:val="2"/>
        </w:rPr>
      </w:pPr>
      <w:r>
        <w:rPr>
          <w:rFonts w:cs="Times New Roman"/>
          <w:szCs w:val="2"/>
        </w:rPr>
        <w:t xml:space="preserve">﻿ </w:t>
      </w:r>
    </w:p>
    <w:tbl>
      <w:tblPr>
        <w:tblW w:w="8145" w:type="dxa"/>
        <w:jc w:val="left"/>
        <w:tblInd w:w="720" w:type="dxa"/>
        <w:tblLayout w:type="fixed"/>
        <w:tblCellMar>
          <w:top w:w="0" w:type="dxa"/>
          <w:left w:w="0" w:type="dxa"/>
          <w:bottom w:w="0" w:type="dxa"/>
          <w:right w:w="0" w:type="dxa"/>
        </w:tblCellMar>
      </w:tblPr>
      <w:tblGrid>
        <w:gridCol w:w="3215"/>
        <w:gridCol w:w="60"/>
        <w:gridCol w:w="140"/>
        <w:gridCol w:w="920"/>
        <w:gridCol w:w="60"/>
        <w:gridCol w:w="167"/>
        <w:gridCol w:w="1098"/>
        <w:gridCol w:w="60"/>
        <w:gridCol w:w="143"/>
        <w:gridCol w:w="912"/>
        <w:gridCol w:w="60"/>
        <w:gridCol w:w="170"/>
        <w:gridCol w:w="1140"/>
      </w:tblGrid>
      <w:tr>
        <w:trPr/>
        <w:tc>
          <w:tcPr>
            <w:tcW w:w="3215"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lineRule="auto" w:line="240" w:before="0" w:after="0"/>
              <w:ind w:left="0" w:right="0" w:hanging="0"/>
              <w:jc w:val="left"/>
              <w:rPr/>
            </w:pPr>
            <w:r>
              <w:rPr/>
              <w:t> </w:t>
            </w:r>
          </w:p>
        </w:tc>
      </w:tr>
      <w:tr>
        <w:trPr/>
        <w:tc>
          <w:tcPr>
            <w:tcW w:w="8145" w:type="dxa"/>
            <w:gridSpan w:val="13"/>
            <w:tcBorders/>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CHEMED CORPORATION AND SUBSIDIARY COMPANIES</w:t>
            </w:r>
          </w:p>
        </w:tc>
      </w:tr>
      <w:tr>
        <w:trPr/>
        <w:tc>
          <w:tcPr>
            <w:tcW w:w="8145" w:type="dxa"/>
            <w:gridSpan w:val="13"/>
            <w:tcBorders/>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CONSOLIDATING STATEMENTS OF INCOME</w:t>
            </w:r>
          </w:p>
        </w:tc>
      </w:tr>
      <w:tr>
        <w:trPr/>
        <w:tc>
          <w:tcPr>
            <w:tcW w:w="8145" w:type="dxa"/>
            <w:gridSpan w:val="13"/>
            <w:tcBorders/>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FOR THE THREE MONTHS ENDED JUNE 30, 2026 AND 2025</w:t>
            </w:r>
          </w:p>
        </w:tc>
      </w:tr>
      <w:tr>
        <w:trPr/>
        <w:tc>
          <w:tcPr>
            <w:tcW w:w="8145" w:type="dxa"/>
            <w:gridSpan w:val="13"/>
            <w:tcBorders/>
            <w:vAlign w:val="bottom"/>
          </w:tcPr>
          <w:p>
            <w:pPr>
              <w:pStyle w:val="TableContents"/>
              <w:bidi w:val="0"/>
              <w:spacing w:lineRule="auto" w:line="240" w:before="0" w:after="0"/>
              <w:ind w:left="0" w:right="0" w:hanging="0"/>
              <w:jc w:val="center"/>
              <w:rPr>
                <w:rFonts w:ascii="Times New Roman" w:hAnsi="Times New Roman"/>
                <w:color w:val="000000"/>
                <w:sz w:val="22"/>
              </w:rPr>
            </w:pPr>
            <w:r>
              <w:rPr>
                <w:rFonts w:ascii="Times New Roman" w:hAnsi="Times New Roman"/>
                <w:color w:val="000000"/>
                <w:sz w:val="22"/>
              </w:rPr>
              <w:t>(in thousands)(unaudited)</w:t>
            </w:r>
          </w:p>
        </w:tc>
      </w:tr>
      <w:tr>
        <w:trPr/>
        <w:tc>
          <w:tcPr>
            <w:tcW w:w="3215" w:type="dxa"/>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060" w:type="dxa"/>
            <w:gridSpan w:val="2"/>
            <w:tcBorders/>
            <w:vAlign w:val="bottom"/>
          </w:tcPr>
          <w:p>
            <w:pPr>
              <w:pStyle w:val="TableContents"/>
              <w:bidi w:val="0"/>
              <w:spacing w:lineRule="auto" w:line="240" w:before="0" w:after="0"/>
              <w:ind w:left="0" w:right="0" w:hanging="0"/>
              <w:jc w:val="center"/>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65" w:type="dxa"/>
            <w:gridSpan w:val="2"/>
            <w:tcBorders/>
            <w:vAlign w:val="bottom"/>
          </w:tcPr>
          <w:p>
            <w:pPr>
              <w:pStyle w:val="TableContents"/>
              <w:bidi w:val="0"/>
              <w:spacing w:lineRule="auto" w:line="240" w:before="0" w:after="0"/>
              <w:ind w:left="0" w:right="0" w:hanging="0"/>
              <w:jc w:val="center"/>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055" w:type="dxa"/>
            <w:gridSpan w:val="2"/>
            <w:tcBorders/>
            <w:vAlign w:val="bottom"/>
          </w:tcPr>
          <w:p>
            <w:pPr>
              <w:pStyle w:val="TableContents"/>
              <w:bidi w:val="0"/>
              <w:spacing w:lineRule="auto" w:line="240" w:before="0" w:after="0"/>
              <w:ind w:left="0" w:right="0" w:hanging="0"/>
              <w:jc w:val="center"/>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310" w:type="dxa"/>
            <w:gridSpan w:val="2"/>
            <w:tcBorders/>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Chemed</w:t>
            </w:r>
          </w:p>
        </w:tc>
      </w:tr>
      <w:tr>
        <w:trPr/>
        <w:tc>
          <w:tcPr>
            <w:tcW w:w="3215" w:type="dxa"/>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060"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VITAS</w:t>
            </w:r>
          </w:p>
        </w:tc>
        <w:tc>
          <w:tcPr>
            <w:tcW w:w="60" w:type="dxa"/>
            <w:tcBorders/>
            <w:vAlign w:val="bottom"/>
          </w:tcPr>
          <w:p>
            <w:pPr>
              <w:pStyle w:val="TableContents"/>
              <w:bidi w:val="0"/>
              <w:spacing w:lineRule="auto" w:line="240" w:before="0" w:after="0"/>
              <w:ind w:left="0" w:right="0" w:hanging="0"/>
              <w:jc w:val="left"/>
              <w:rPr/>
            </w:pPr>
            <w:r>
              <w:rPr/>
              <w:t> </w:t>
            </w:r>
          </w:p>
        </w:tc>
        <w:tc>
          <w:tcPr>
            <w:tcW w:w="1265"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Roto-Rooter</w:t>
            </w:r>
          </w:p>
        </w:tc>
        <w:tc>
          <w:tcPr>
            <w:tcW w:w="60" w:type="dxa"/>
            <w:tcBorders/>
            <w:vAlign w:val="bottom"/>
          </w:tcPr>
          <w:p>
            <w:pPr>
              <w:pStyle w:val="TableContents"/>
              <w:bidi w:val="0"/>
              <w:spacing w:lineRule="auto" w:line="240" w:before="0" w:after="0"/>
              <w:ind w:left="0" w:right="0" w:hanging="0"/>
              <w:jc w:val="left"/>
              <w:rPr/>
            </w:pPr>
            <w:r>
              <w:rPr/>
              <w:t> </w:t>
            </w:r>
          </w:p>
        </w:tc>
        <w:tc>
          <w:tcPr>
            <w:tcW w:w="1055"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Corporate</w:t>
            </w:r>
          </w:p>
        </w:tc>
        <w:tc>
          <w:tcPr>
            <w:tcW w:w="60" w:type="dxa"/>
            <w:tcBorders/>
            <w:vAlign w:val="bottom"/>
          </w:tcPr>
          <w:p>
            <w:pPr>
              <w:pStyle w:val="TableContents"/>
              <w:bidi w:val="0"/>
              <w:spacing w:lineRule="auto" w:line="240" w:before="0" w:after="0"/>
              <w:ind w:left="0" w:right="0" w:hanging="0"/>
              <w:jc w:val="left"/>
              <w:rPr/>
            </w:pPr>
            <w:r>
              <w:rPr/>
              <w:t> </w:t>
            </w:r>
          </w:p>
        </w:tc>
        <w:tc>
          <w:tcPr>
            <w:tcW w:w="1310"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Consolidated</w:t>
            </w:r>
          </w:p>
        </w:tc>
      </w:tr>
      <w:tr>
        <w:trPr/>
        <w:tc>
          <w:tcPr>
            <w:tcW w:w="321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b/>
                <w:color w:val="000000"/>
                <w:sz w:val="22"/>
              </w:rPr>
            </w:pPr>
            <w:r>
              <w:rPr>
                <w:rFonts w:ascii="Times New Roman" w:hAnsi="Times New Roman"/>
                <w:b/>
                <w:color w:val="000000"/>
                <w:sz w:val="22"/>
              </w:rPr>
              <w:t>2026 (a)</w:t>
            </w:r>
          </w:p>
        </w:tc>
        <w:tc>
          <w:tcPr>
            <w:tcW w:w="6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8"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3215" w:type="dxa"/>
            <w:tcBorders>
              <w:top w:val="single" w:sz="8" w:space="0" w:color="000000"/>
            </w:tcBorders>
            <w:tcMar>
              <w:top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Service revenues and sales</w:t>
            </w:r>
          </w:p>
        </w:tc>
        <w:tc>
          <w:tcPr>
            <w:tcW w:w="6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2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443,341 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098"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229,910 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12"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1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673,251 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Cost of services provided and goods sold</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337,691 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8"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114,089 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tcBorders>
            <w:tcMar>
              <w:top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451,780 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Selling, general and administrative expenses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26,105 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67,373 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21,725 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115,203 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Depreciation</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5,781 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8,474 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12 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14,267 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Amortization</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27 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2,692 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2,719 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Other operating expense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28 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98"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50 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2"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78  </w:t>
            </w:r>
          </w:p>
        </w:tc>
      </w:tr>
      <w:tr>
        <w:trPr/>
        <w:tc>
          <w:tcPr>
            <w:tcW w:w="3215" w:type="dxa"/>
            <w:tcBorders/>
            <w:vAlign w:val="bottom"/>
          </w:tcPr>
          <w:p>
            <w:pPr>
              <w:pStyle w:val="TableContents"/>
              <w:bidi w:val="0"/>
              <w:spacing w:lineRule="auto" w:line="240" w:before="0" w:after="0"/>
              <w:ind w:left="240" w:right="0" w:hanging="0"/>
              <w:jc w:val="left"/>
              <w:rPr>
                <w:rFonts w:ascii="Times New Roman" w:hAnsi="Times New Roman"/>
                <w:color w:val="000000"/>
                <w:sz w:val="22"/>
              </w:rPr>
            </w:pPr>
            <w:r>
              <w:rPr>
                <w:rFonts w:ascii="Times New Roman" w:hAnsi="Times New Roman"/>
                <w:color w:val="000000"/>
                <w:sz w:val="22"/>
              </w:rPr>
              <w:t>Total costs and expenses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20"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369,632 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098"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192,678 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21,737 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140"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584,047  </w:t>
            </w:r>
          </w:p>
        </w:tc>
      </w:tr>
      <w:tr>
        <w:trPr/>
        <w:tc>
          <w:tcPr>
            <w:tcW w:w="3215" w:type="dxa"/>
            <w:tcBorders/>
            <w:vAlign w:val="bottom"/>
          </w:tcPr>
          <w:p>
            <w:pPr>
              <w:pStyle w:val="TableContents"/>
              <w:bidi w:val="0"/>
              <w:spacing w:lineRule="auto" w:line="240" w:before="0" w:after="0"/>
              <w:ind w:left="240" w:right="0" w:hanging="0"/>
              <w:jc w:val="left"/>
              <w:rPr>
                <w:rFonts w:ascii="Times New Roman" w:hAnsi="Times New Roman"/>
                <w:color w:val="000000"/>
                <w:sz w:val="22"/>
              </w:rPr>
            </w:pPr>
            <w:r>
              <w:rPr>
                <w:rFonts w:ascii="Times New Roman" w:hAnsi="Times New Roman"/>
                <w:color w:val="000000"/>
                <w:sz w:val="22"/>
              </w:rPr>
              <w:t>Income/(loss) from operations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73,709 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8"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37,232 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(21,737)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89,204 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Interest expense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(54)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(185)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(1,550)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(1,789)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Intercompany interest income/(expense)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6,480 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4,575 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(11,055)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Other income—net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66 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98"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10 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3,838 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3,914  </w:t>
            </w:r>
          </w:p>
        </w:tc>
      </w:tr>
      <w:tr>
        <w:trPr/>
        <w:tc>
          <w:tcPr>
            <w:tcW w:w="3215" w:type="dxa"/>
            <w:tcBorders/>
            <w:vAlign w:val="bottom"/>
          </w:tcPr>
          <w:p>
            <w:pPr>
              <w:pStyle w:val="TableContents"/>
              <w:bidi w:val="0"/>
              <w:spacing w:lineRule="auto" w:line="240" w:before="0" w:after="0"/>
              <w:ind w:left="240" w:right="0" w:hanging="0"/>
              <w:jc w:val="left"/>
              <w:rPr>
                <w:rFonts w:ascii="Times New Roman" w:hAnsi="Times New Roman"/>
                <w:color w:val="000000"/>
                <w:sz w:val="22"/>
              </w:rPr>
            </w:pPr>
            <w:r>
              <w:rPr>
                <w:rFonts w:ascii="Times New Roman" w:hAnsi="Times New Roman"/>
                <w:color w:val="000000"/>
                <w:sz w:val="22"/>
              </w:rPr>
              <w:t>Income/(loss) before income taxes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80,201 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8"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41,632 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(30,504)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91,329 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Income taxes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(19,290)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98"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(9,719)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5,383 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(23,626) </w:t>
            </w:r>
          </w:p>
        </w:tc>
      </w:tr>
      <w:tr>
        <w:trPr/>
        <w:tc>
          <w:tcPr>
            <w:tcW w:w="3215" w:type="dxa"/>
            <w:tcBorders/>
            <w:vAlign w:val="bottom"/>
          </w:tcPr>
          <w:p>
            <w:pPr>
              <w:pStyle w:val="TableContents"/>
              <w:bidi w:val="0"/>
              <w:spacing w:lineRule="auto" w:line="240" w:before="0" w:after="0"/>
              <w:ind w:left="240" w:right="0" w:hanging="0"/>
              <w:jc w:val="left"/>
              <w:rPr>
                <w:rFonts w:ascii="Times New Roman" w:hAnsi="Times New Roman"/>
                <w:color w:val="000000"/>
                <w:sz w:val="22"/>
              </w:rPr>
            </w:pPr>
            <w:r>
              <w:rPr>
                <w:rFonts w:ascii="Times New Roman" w:hAnsi="Times New Roman"/>
                <w:color w:val="000000"/>
                <w:sz w:val="22"/>
              </w:rPr>
              <w:t>Net income/(loss)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20"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60,911 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098"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31,913 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1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(25,121)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140"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67,703  </w:t>
            </w:r>
          </w:p>
        </w:tc>
      </w:tr>
      <w:tr>
        <w:trPr/>
        <w:tc>
          <w:tcPr>
            <w:tcW w:w="3215" w:type="dxa"/>
            <w:tcBorders/>
            <w:vAlign w:val="bottom"/>
          </w:tcPr>
          <w:p>
            <w:pPr>
              <w:pStyle w:val="TableContents"/>
              <w:bidi w:val="0"/>
              <w:spacing w:lineRule="auto" w:line="240" w:before="0" w:after="0"/>
              <w:ind w:left="0" w:right="0" w:hanging="0"/>
              <w:jc w:val="left"/>
              <w:rPr>
                <w:rFonts w:cs="Times New Roman"/>
                <w:bCs/>
                <w:color w:val="000000"/>
                <w:szCs w:val="22"/>
              </w:rPr>
            </w:pPr>
            <w:r>
              <w:rPr>
                <w:rFonts w:cs="Times New Roman"/>
                <w:bCs/>
                <w:color w:val="000000"/>
                <w:szCs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8"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321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2025 (b)</w:t>
            </w:r>
          </w:p>
        </w:tc>
        <w:tc>
          <w:tcPr>
            <w:tcW w:w="6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lineRule="auto" w:line="240" w:before="0" w:after="0"/>
              <w:ind w:left="0" w:right="0" w:hanging="0"/>
              <w:jc w:val="left"/>
              <w:rPr/>
            </w:pPr>
            <w:r>
              <w:rPr/>
              <w:t> </w:t>
            </w:r>
          </w:p>
        </w:tc>
      </w:tr>
      <w:tr>
        <w:trPr/>
        <w:tc>
          <w:tcPr>
            <w:tcW w:w="3215" w:type="dxa"/>
            <w:tcBorders>
              <w:top w:val="single" w:sz="8" w:space="0" w:color="000000"/>
            </w:tcBorders>
            <w:tcMar>
              <w:top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Service revenues and sales</w:t>
            </w:r>
          </w:p>
        </w:tc>
        <w:tc>
          <w:tcPr>
            <w:tcW w:w="6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2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396,201 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098"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222,597 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12"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1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618,798 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Cost of services provided and goods sold</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320,644 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8"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113,461 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tcBorders>
            <w:tcMar>
              <w:top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434,105 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Selling, general and administrative expenses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25,085 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60,536 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14,702 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100,323 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Depreciation</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5,314 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8,363 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12 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13,689 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Amortization</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26 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2,545 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2,571 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Other operating expense/(income)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55 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98"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(29)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2"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26  </w:t>
            </w:r>
          </w:p>
        </w:tc>
      </w:tr>
      <w:tr>
        <w:trPr/>
        <w:tc>
          <w:tcPr>
            <w:tcW w:w="3215" w:type="dxa"/>
            <w:tcBorders/>
            <w:vAlign w:val="bottom"/>
          </w:tcPr>
          <w:p>
            <w:pPr>
              <w:pStyle w:val="TableContents"/>
              <w:bidi w:val="0"/>
              <w:spacing w:lineRule="auto" w:line="240" w:before="0" w:after="0"/>
              <w:ind w:left="240" w:right="0" w:hanging="0"/>
              <w:jc w:val="left"/>
              <w:rPr>
                <w:rFonts w:ascii="Times New Roman" w:hAnsi="Times New Roman"/>
                <w:color w:val="000000"/>
                <w:sz w:val="22"/>
              </w:rPr>
            </w:pPr>
            <w:r>
              <w:rPr>
                <w:rFonts w:ascii="Times New Roman" w:hAnsi="Times New Roman"/>
                <w:color w:val="000000"/>
                <w:sz w:val="22"/>
              </w:rPr>
              <w:t>Total costs and expenses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20"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351,124 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098"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184,876 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14,714 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140"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550,714  </w:t>
            </w:r>
          </w:p>
        </w:tc>
      </w:tr>
      <w:tr>
        <w:trPr/>
        <w:tc>
          <w:tcPr>
            <w:tcW w:w="3215" w:type="dxa"/>
            <w:tcBorders/>
            <w:vAlign w:val="bottom"/>
          </w:tcPr>
          <w:p>
            <w:pPr>
              <w:pStyle w:val="TableContents"/>
              <w:bidi w:val="0"/>
              <w:spacing w:lineRule="auto" w:line="240" w:before="0" w:after="0"/>
              <w:ind w:left="240" w:right="0" w:hanging="0"/>
              <w:jc w:val="left"/>
              <w:rPr>
                <w:rFonts w:ascii="Times New Roman" w:hAnsi="Times New Roman"/>
                <w:color w:val="000000"/>
                <w:sz w:val="22"/>
              </w:rPr>
            </w:pPr>
            <w:r>
              <w:rPr>
                <w:rFonts w:ascii="Times New Roman" w:hAnsi="Times New Roman"/>
                <w:color w:val="000000"/>
                <w:sz w:val="22"/>
              </w:rPr>
              <w:t>Income/(loss) from operations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45,077 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8"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37,721 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(14,714)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68,084 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Interest expense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(47)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(129)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(267)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(443)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Intercompany interest income/(expense)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5,454 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3,970 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(9,424)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Other income—net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61 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98"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23 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3,390 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3,474  </w:t>
            </w:r>
          </w:p>
        </w:tc>
      </w:tr>
      <w:tr>
        <w:trPr/>
        <w:tc>
          <w:tcPr>
            <w:tcW w:w="3215" w:type="dxa"/>
            <w:tcBorders/>
            <w:vAlign w:val="bottom"/>
          </w:tcPr>
          <w:p>
            <w:pPr>
              <w:pStyle w:val="TableContents"/>
              <w:bidi w:val="0"/>
              <w:spacing w:lineRule="auto" w:line="240" w:before="0" w:after="0"/>
              <w:ind w:left="240" w:right="0" w:hanging="0"/>
              <w:jc w:val="left"/>
              <w:rPr>
                <w:rFonts w:ascii="Times New Roman" w:hAnsi="Times New Roman"/>
                <w:color w:val="000000"/>
                <w:sz w:val="22"/>
              </w:rPr>
            </w:pPr>
            <w:r>
              <w:rPr>
                <w:rFonts w:ascii="Times New Roman" w:hAnsi="Times New Roman"/>
                <w:color w:val="000000"/>
                <w:sz w:val="22"/>
              </w:rPr>
              <w:t>Income/(loss) before income taxes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50,545 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8"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41,585 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(21,015)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71,115 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Income taxes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(12,326)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98"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(9,671)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3,375 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(18,622) </w:t>
            </w:r>
          </w:p>
        </w:tc>
      </w:tr>
      <w:tr>
        <w:trPr/>
        <w:tc>
          <w:tcPr>
            <w:tcW w:w="3215" w:type="dxa"/>
            <w:tcBorders/>
            <w:vAlign w:val="bottom"/>
          </w:tcPr>
          <w:p>
            <w:pPr>
              <w:pStyle w:val="TableContents"/>
              <w:bidi w:val="0"/>
              <w:spacing w:lineRule="auto" w:line="240" w:before="0" w:after="0"/>
              <w:ind w:left="240" w:right="0" w:hanging="0"/>
              <w:jc w:val="left"/>
              <w:rPr>
                <w:rFonts w:ascii="Times New Roman" w:hAnsi="Times New Roman"/>
                <w:color w:val="000000"/>
                <w:sz w:val="22"/>
              </w:rPr>
            </w:pPr>
            <w:r>
              <w:rPr>
                <w:rFonts w:ascii="Times New Roman" w:hAnsi="Times New Roman"/>
                <w:color w:val="000000"/>
                <w:sz w:val="22"/>
              </w:rPr>
              <w:t>Net income/(loss)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20"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38,219 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098"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31,914 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1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(17,640)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140"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52,493  </w:t>
            </w:r>
          </w:p>
        </w:tc>
      </w:tr>
      <w:tr>
        <w:trPr/>
        <w:tc>
          <w:tcPr>
            <w:tcW w:w="3215" w:type="dxa"/>
            <w:tcBorders/>
            <w:vAlign w:val="bottom"/>
          </w:tcPr>
          <w:p>
            <w:pPr>
              <w:pStyle w:val="TableContents"/>
              <w:bidi w:val="0"/>
              <w:spacing w:lineRule="auto" w:line="240" w:before="0" w:after="0"/>
              <w:ind w:left="0" w:right="0" w:hanging="0"/>
              <w:jc w:val="left"/>
              <w:rPr>
                <w:rFonts w:cs="Times New Roman"/>
                <w:bCs/>
                <w:color w:val="000000"/>
                <w:szCs w:val="22"/>
              </w:rPr>
            </w:pPr>
            <w:r>
              <w:rPr>
                <w:rFonts w:cs="Times New Roman"/>
                <w:bCs/>
                <w:color w:val="000000"/>
                <w:szCs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8"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3215" w:type="dxa"/>
            <w:tcBorders/>
            <w:vAlign w:val="bottom"/>
          </w:tcPr>
          <w:p>
            <w:pPr>
              <w:pStyle w:val="TableContents"/>
              <w:bidi w:val="0"/>
              <w:spacing w:lineRule="auto" w:line="240" w:before="0" w:after="0"/>
              <w:ind w:left="0" w:right="0" w:hanging="0"/>
              <w:jc w:val="left"/>
              <w:rPr>
                <w:rFonts w:cs="Times New Roman"/>
                <w:bCs/>
                <w:color w:val="000000"/>
                <w:szCs w:val="22"/>
              </w:rPr>
            </w:pPr>
            <w:r>
              <w:rPr>
                <w:rFonts w:cs="Times New Roman"/>
                <w:bCs/>
                <w:color w:val="000000"/>
                <w:szCs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lineRule="auto" w:line="240" w:before="0" w:after="0"/>
              <w:ind w:left="0" w:right="0" w:hanging="0"/>
              <w:jc w:val="left"/>
              <w:rPr/>
            </w:pPr>
            <w:r>
              <w:rPr/>
              <w:t> </w:t>
            </w:r>
          </w:p>
        </w:tc>
      </w:tr>
      <w:tr>
        <w:trPr/>
        <w:tc>
          <w:tcPr>
            <w:tcW w:w="8145" w:type="dxa"/>
            <w:gridSpan w:val="13"/>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The "Footnotes to Financial Statements" are integral parts of this financial information.</w:t>
            </w:r>
          </w:p>
        </w:tc>
      </w:tr>
    </w:tbl>
    <w:p>
      <w:pPr>
        <w:pStyle w:val="TextBody"/>
        <w:bidi w:val="0"/>
        <w:spacing w:lineRule="auto" w:line="240" w:before="0" w:after="0"/>
        <w:ind w:left="720" w:right="1340" w:hanging="0"/>
        <w:jc w:val="left"/>
        <w:rPr>
          <w:rFonts w:cs="Times New Roman"/>
          <w:szCs w:val="24"/>
        </w:rPr>
      </w:pPr>
      <w:r>
        <w:rPr>
          <w:rFonts w:cs="Times New Roman"/>
          <w:szCs w:val="24"/>
        </w:rPr>
        <w:t xml:space="preserve">﻿ </w:t>
      </w:r>
    </w:p>
    <w:p>
      <w:pPr>
        <w:pStyle w:val="TextBody"/>
        <w:bidi w:val="0"/>
        <w:spacing w:lineRule="auto" w:line="256" w:before="0" w:after="160"/>
        <w:ind w:left="720" w:right="1340" w:hanging="0"/>
        <w:jc w:val="left"/>
        <w:rPr>
          <w:rFonts w:cs="Times New Roman"/>
          <w:szCs w:val="20"/>
        </w:rPr>
      </w:pPr>
      <w:r>
        <w:rPr>
          <w:rFonts w:cs="Times New Roman"/>
          <w:szCs w:val="20"/>
        </w:rPr>
        <w:t xml:space="preserve">﻿ </w:t>
      </w:r>
    </w:p>
    <w:p>
      <w:pPr>
        <w:pStyle w:val="TextBody"/>
        <w:bidi w:val="0"/>
        <w:spacing w:lineRule="auto" w:line="256" w:before="0" w:after="0"/>
        <w:ind w:left="720" w:right="1340" w:hanging="0"/>
        <w:jc w:val="left"/>
        <w:rPr>
          <w:rFonts w:cs="Times New Roman"/>
          <w:szCs w:val="2"/>
        </w:rPr>
      </w:pPr>
      <w:r>
        <w:rPr>
          <w:rFonts w:cs="Times New Roman"/>
          <w:szCs w:val="2"/>
        </w:rPr>
        <w:t xml:space="preserve">﻿ </w:t>
      </w:r>
    </w:p>
    <w:p>
      <w:pPr>
        <w:pStyle w:val="TextBody"/>
        <w:bidi w:val="0"/>
        <w:spacing w:lineRule="auto" w:line="256" w:before="0" w:after="0"/>
        <w:ind w:left="720" w:right="1340" w:hanging="0"/>
        <w:jc w:val="left"/>
        <w:rPr>
          <w:rFonts w:cs="Times New Roman"/>
          <w:szCs w:val="2"/>
        </w:rPr>
      </w:pPr>
      <w:r>
        <w:rPr>
          <w:rFonts w:cs="Times New Roman"/>
          <w:szCs w:val="2"/>
        </w:rPr>
        <w:t xml:space="preserve">﻿ </w:t>
      </w:r>
    </w:p>
    <w:p>
      <w:pPr>
        <w:pStyle w:val="HorizontalLine"/>
        <w:pBdr>
          <w:bottom w:val="double" w:sz="6" w:space="0" w:color="808080"/>
        </w:pBdr>
        <w:bidi w:val="0"/>
        <w:ind w:left="720" w:right="1340" w:hanging="0"/>
        <w:jc w:val="left"/>
        <w:rPr/>
      </w:pPr>
      <w:r>
        <w:rPr/>
      </w:r>
    </w:p>
    <w:p>
      <w:pPr>
        <w:pStyle w:val="TextBody"/>
        <w:bidi w:val="0"/>
        <w:ind w:left="720" w:right="1340" w:hanging="0"/>
        <w:jc w:val="left"/>
        <w:rPr/>
      </w:pPr>
      <w:r>
        <w:rPr/>
        <w:t> </w:t>
      </w:r>
      <w:r>
        <w:br w:type="page"/>
      </w:r>
    </w:p>
    <w:tbl>
      <w:tblPr>
        <w:tblW w:w="773" w:type="dxa"/>
        <w:jc w:val="left"/>
        <w:tblInd w:w="720" w:type="dxa"/>
        <w:tblLayout w:type="fixed"/>
        <w:tblCellMar>
          <w:top w:w="0" w:type="dxa"/>
          <w:left w:w="0" w:type="dxa"/>
          <w:bottom w:w="0" w:type="dxa"/>
          <w:right w:w="0" w:type="dxa"/>
        </w:tblCellMar>
      </w:tblPr>
      <w:tblGrid>
        <w:gridCol w:w="38"/>
        <w:gridCol w:w="60"/>
        <w:gridCol w:w="60"/>
        <w:gridCol w:w="60"/>
        <w:gridCol w:w="60"/>
        <w:gridCol w:w="60"/>
        <w:gridCol w:w="60"/>
        <w:gridCol w:w="60"/>
        <w:gridCol w:w="60"/>
        <w:gridCol w:w="60"/>
        <w:gridCol w:w="60"/>
        <w:gridCol w:w="60"/>
        <w:gridCol w:w="75"/>
      </w:tblGrid>
      <w:tr>
        <w:trPr/>
        <w:tc>
          <w:tcPr>
            <w:tcW w:w="38" w:type="dxa"/>
            <w:tcBorders/>
            <w:vAlign w:val="bottom"/>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bl>
    <w:p>
      <w:pPr>
        <w:pStyle w:val="TextBody"/>
        <w:bidi w:val="0"/>
        <w:spacing w:lineRule="auto" w:line="256" w:before="0" w:after="0"/>
        <w:ind w:left="720" w:right="1340" w:hanging="0"/>
        <w:jc w:val="left"/>
        <w:rPr>
          <w:rFonts w:cs="Times New Roman"/>
          <w:szCs w:val="2"/>
        </w:rPr>
      </w:pPr>
      <w:r>
        <w:rPr>
          <w:rFonts w:cs="Times New Roman"/>
          <w:szCs w:val="2"/>
        </w:rPr>
        <w:t xml:space="preserve">﻿ </w:t>
      </w:r>
    </w:p>
    <w:tbl>
      <w:tblPr>
        <w:tblW w:w="8145" w:type="dxa"/>
        <w:jc w:val="left"/>
        <w:tblInd w:w="720" w:type="dxa"/>
        <w:tblLayout w:type="fixed"/>
        <w:tblCellMar>
          <w:top w:w="0" w:type="dxa"/>
          <w:left w:w="0" w:type="dxa"/>
          <w:bottom w:w="0" w:type="dxa"/>
          <w:right w:w="0" w:type="dxa"/>
        </w:tblCellMar>
      </w:tblPr>
      <w:tblGrid>
        <w:gridCol w:w="3215"/>
        <w:gridCol w:w="60"/>
        <w:gridCol w:w="140"/>
        <w:gridCol w:w="920"/>
        <w:gridCol w:w="60"/>
        <w:gridCol w:w="167"/>
        <w:gridCol w:w="1098"/>
        <w:gridCol w:w="60"/>
        <w:gridCol w:w="143"/>
        <w:gridCol w:w="912"/>
        <w:gridCol w:w="60"/>
        <w:gridCol w:w="146"/>
        <w:gridCol w:w="1164"/>
      </w:tblGrid>
      <w:tr>
        <w:trPr/>
        <w:tc>
          <w:tcPr>
            <w:tcW w:w="3215"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6" w:type="dxa"/>
            <w:tcBorders/>
            <w:vAlign w:val="bottom"/>
          </w:tcPr>
          <w:p>
            <w:pPr>
              <w:pStyle w:val="TableContents"/>
              <w:bidi w:val="0"/>
              <w:spacing w:lineRule="auto" w:line="240" w:before="0" w:after="0"/>
              <w:ind w:left="0" w:right="0" w:hanging="0"/>
              <w:jc w:val="left"/>
              <w:rPr/>
            </w:pPr>
            <w:r>
              <w:rPr/>
              <w:t> </w:t>
            </w:r>
          </w:p>
        </w:tc>
        <w:tc>
          <w:tcPr>
            <w:tcW w:w="1164" w:type="dxa"/>
            <w:tcBorders/>
            <w:vAlign w:val="bottom"/>
          </w:tcPr>
          <w:p>
            <w:pPr>
              <w:pStyle w:val="TableContents"/>
              <w:bidi w:val="0"/>
              <w:spacing w:lineRule="auto" w:line="240" w:before="0" w:after="0"/>
              <w:ind w:left="0" w:right="0" w:hanging="0"/>
              <w:jc w:val="left"/>
              <w:rPr/>
            </w:pPr>
            <w:r>
              <w:rPr/>
              <w:t> </w:t>
            </w:r>
          </w:p>
        </w:tc>
      </w:tr>
      <w:tr>
        <w:trPr/>
        <w:tc>
          <w:tcPr>
            <w:tcW w:w="8145" w:type="dxa"/>
            <w:gridSpan w:val="13"/>
            <w:tcBorders/>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CHEMED CORPORATION AND SUBSIDIARY COMPANIES</w:t>
            </w:r>
          </w:p>
        </w:tc>
      </w:tr>
      <w:tr>
        <w:trPr/>
        <w:tc>
          <w:tcPr>
            <w:tcW w:w="8145" w:type="dxa"/>
            <w:gridSpan w:val="13"/>
            <w:tcBorders/>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CONSOLIDATING STATEMENTS OF INCOME</w:t>
            </w:r>
          </w:p>
        </w:tc>
      </w:tr>
      <w:tr>
        <w:trPr/>
        <w:tc>
          <w:tcPr>
            <w:tcW w:w="8145" w:type="dxa"/>
            <w:gridSpan w:val="13"/>
            <w:tcBorders/>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FOR THE SIX MONTHS ENDED JUNE 30, 2026 AND 2025</w:t>
            </w:r>
          </w:p>
        </w:tc>
      </w:tr>
      <w:tr>
        <w:trPr/>
        <w:tc>
          <w:tcPr>
            <w:tcW w:w="8145" w:type="dxa"/>
            <w:gridSpan w:val="13"/>
            <w:tcBorders/>
            <w:vAlign w:val="bottom"/>
          </w:tcPr>
          <w:p>
            <w:pPr>
              <w:pStyle w:val="TableContents"/>
              <w:bidi w:val="0"/>
              <w:spacing w:lineRule="auto" w:line="240" w:before="0" w:after="0"/>
              <w:ind w:left="0" w:right="0" w:hanging="0"/>
              <w:jc w:val="center"/>
              <w:rPr>
                <w:rFonts w:ascii="Times New Roman" w:hAnsi="Times New Roman"/>
                <w:color w:val="000000"/>
                <w:sz w:val="22"/>
              </w:rPr>
            </w:pPr>
            <w:r>
              <w:rPr>
                <w:rFonts w:ascii="Times New Roman" w:hAnsi="Times New Roman"/>
                <w:color w:val="000000"/>
                <w:sz w:val="22"/>
              </w:rPr>
              <w:t>(in thousands)(unaudited)</w:t>
            </w:r>
          </w:p>
        </w:tc>
      </w:tr>
      <w:tr>
        <w:trPr/>
        <w:tc>
          <w:tcPr>
            <w:tcW w:w="3215" w:type="dxa"/>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060" w:type="dxa"/>
            <w:gridSpan w:val="2"/>
            <w:tcBorders/>
            <w:vAlign w:val="bottom"/>
          </w:tcPr>
          <w:p>
            <w:pPr>
              <w:pStyle w:val="TableContents"/>
              <w:bidi w:val="0"/>
              <w:spacing w:lineRule="auto" w:line="240" w:before="0" w:after="0"/>
              <w:ind w:left="0" w:right="0" w:hanging="0"/>
              <w:jc w:val="center"/>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055" w:type="dxa"/>
            <w:gridSpan w:val="2"/>
            <w:tcBorders/>
            <w:vAlign w:val="bottom"/>
          </w:tcPr>
          <w:p>
            <w:pPr>
              <w:pStyle w:val="TableContents"/>
              <w:bidi w:val="0"/>
              <w:spacing w:lineRule="auto" w:line="240" w:before="0" w:after="0"/>
              <w:ind w:left="0" w:right="0" w:hanging="0"/>
              <w:jc w:val="center"/>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310" w:type="dxa"/>
            <w:gridSpan w:val="2"/>
            <w:tcBorders/>
            <w:vAlign w:val="bottom"/>
          </w:tcPr>
          <w:p>
            <w:pPr>
              <w:pStyle w:val="TableContents"/>
              <w:bidi w:val="0"/>
              <w:spacing w:lineRule="auto" w:line="240" w:before="0" w:after="0"/>
              <w:ind w:left="0" w:right="0" w:hanging="0"/>
              <w:jc w:val="center"/>
              <w:rPr/>
            </w:pPr>
            <w:r>
              <w:rPr/>
              <w:t> </w:t>
            </w:r>
          </w:p>
        </w:tc>
      </w:tr>
      <w:tr>
        <w:trPr/>
        <w:tc>
          <w:tcPr>
            <w:tcW w:w="3215" w:type="dxa"/>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060" w:type="dxa"/>
            <w:gridSpan w:val="2"/>
            <w:tcBorders/>
            <w:vAlign w:val="bottom"/>
          </w:tcPr>
          <w:p>
            <w:pPr>
              <w:pStyle w:val="TableContents"/>
              <w:bidi w:val="0"/>
              <w:spacing w:lineRule="auto" w:line="240" w:before="0" w:after="0"/>
              <w:ind w:left="0" w:right="0" w:hanging="0"/>
              <w:jc w:val="center"/>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65" w:type="dxa"/>
            <w:gridSpan w:val="2"/>
            <w:tcBorders/>
            <w:vAlign w:val="bottom"/>
          </w:tcPr>
          <w:p>
            <w:pPr>
              <w:pStyle w:val="TableContents"/>
              <w:bidi w:val="0"/>
              <w:spacing w:lineRule="auto" w:line="240" w:before="0" w:after="0"/>
              <w:ind w:left="0" w:right="0" w:hanging="0"/>
              <w:jc w:val="center"/>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055" w:type="dxa"/>
            <w:gridSpan w:val="2"/>
            <w:tcBorders/>
            <w:vAlign w:val="bottom"/>
          </w:tcPr>
          <w:p>
            <w:pPr>
              <w:pStyle w:val="TableContents"/>
              <w:bidi w:val="0"/>
              <w:spacing w:lineRule="auto" w:line="240" w:before="0" w:after="0"/>
              <w:ind w:left="0" w:right="0" w:hanging="0"/>
              <w:jc w:val="center"/>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310" w:type="dxa"/>
            <w:gridSpan w:val="2"/>
            <w:tcBorders/>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Chemed</w:t>
            </w:r>
          </w:p>
        </w:tc>
      </w:tr>
      <w:tr>
        <w:trPr/>
        <w:tc>
          <w:tcPr>
            <w:tcW w:w="3215" w:type="dxa"/>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060"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VITAS</w:t>
            </w:r>
          </w:p>
        </w:tc>
        <w:tc>
          <w:tcPr>
            <w:tcW w:w="60" w:type="dxa"/>
            <w:tcBorders/>
            <w:vAlign w:val="bottom"/>
          </w:tcPr>
          <w:p>
            <w:pPr>
              <w:pStyle w:val="TableContents"/>
              <w:bidi w:val="0"/>
              <w:spacing w:lineRule="auto" w:line="240" w:before="0" w:after="0"/>
              <w:ind w:left="0" w:right="0" w:hanging="0"/>
              <w:jc w:val="left"/>
              <w:rPr/>
            </w:pPr>
            <w:r>
              <w:rPr/>
              <w:t> </w:t>
            </w:r>
          </w:p>
        </w:tc>
        <w:tc>
          <w:tcPr>
            <w:tcW w:w="1265"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Roto-Rooter</w:t>
            </w:r>
          </w:p>
        </w:tc>
        <w:tc>
          <w:tcPr>
            <w:tcW w:w="60" w:type="dxa"/>
            <w:tcBorders/>
            <w:vAlign w:val="bottom"/>
          </w:tcPr>
          <w:p>
            <w:pPr>
              <w:pStyle w:val="TableContents"/>
              <w:bidi w:val="0"/>
              <w:spacing w:lineRule="auto" w:line="240" w:before="0" w:after="0"/>
              <w:ind w:left="0" w:right="0" w:hanging="0"/>
              <w:jc w:val="left"/>
              <w:rPr/>
            </w:pPr>
            <w:r>
              <w:rPr/>
              <w:t> </w:t>
            </w:r>
          </w:p>
        </w:tc>
        <w:tc>
          <w:tcPr>
            <w:tcW w:w="1055"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Corporate</w:t>
            </w:r>
          </w:p>
        </w:tc>
        <w:tc>
          <w:tcPr>
            <w:tcW w:w="60" w:type="dxa"/>
            <w:tcBorders/>
            <w:vAlign w:val="bottom"/>
          </w:tcPr>
          <w:p>
            <w:pPr>
              <w:pStyle w:val="TableContents"/>
              <w:bidi w:val="0"/>
              <w:spacing w:lineRule="auto" w:line="240" w:before="0" w:after="0"/>
              <w:ind w:left="0" w:right="0" w:hanging="0"/>
              <w:jc w:val="left"/>
              <w:rPr/>
            </w:pPr>
            <w:r>
              <w:rPr/>
              <w:t> </w:t>
            </w:r>
          </w:p>
        </w:tc>
        <w:tc>
          <w:tcPr>
            <w:tcW w:w="1310"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Consolidated</w:t>
            </w:r>
          </w:p>
        </w:tc>
      </w:tr>
      <w:tr>
        <w:trPr/>
        <w:tc>
          <w:tcPr>
            <w:tcW w:w="321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b/>
                <w:color w:val="000000"/>
                <w:sz w:val="22"/>
              </w:rPr>
            </w:pPr>
            <w:r>
              <w:rPr>
                <w:rFonts w:ascii="Times New Roman" w:hAnsi="Times New Roman"/>
                <w:b/>
                <w:color w:val="000000"/>
                <w:sz w:val="22"/>
              </w:rPr>
              <w:t>2026 (a)</w:t>
            </w:r>
          </w:p>
        </w:tc>
        <w:tc>
          <w:tcPr>
            <w:tcW w:w="6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8"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6"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64"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3215" w:type="dxa"/>
            <w:tcBorders>
              <w:top w:val="single" w:sz="8" w:space="0" w:color="000000"/>
            </w:tcBorders>
            <w:tcMar>
              <w:top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Service revenues and sales</w:t>
            </w:r>
          </w:p>
        </w:tc>
        <w:tc>
          <w:tcPr>
            <w:tcW w:w="6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2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863,358 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098"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467,406 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12"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6"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16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1,330,764 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Cost of services provided and goods sold</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663,157 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8"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230,372 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tcBorders>
            <w:tcMar>
              <w:top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6"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64"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893,529 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Selling, general and administrative expenses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52,213 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135,302 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42,009  </w:t>
            </w:r>
          </w:p>
        </w:tc>
        <w:tc>
          <w:tcPr>
            <w:tcW w:w="60" w:type="dxa"/>
            <w:tcBorders/>
            <w:vAlign w:val="bottom"/>
          </w:tcPr>
          <w:p>
            <w:pPr>
              <w:pStyle w:val="TableContents"/>
              <w:bidi w:val="0"/>
              <w:spacing w:lineRule="auto" w:line="240" w:before="0" w:after="0"/>
              <w:ind w:left="0" w:right="0" w:hanging="0"/>
              <w:jc w:val="left"/>
              <w:rPr/>
            </w:pPr>
            <w:r>
              <w:rPr/>
              <w:t> </w:t>
            </w:r>
          </w:p>
        </w:tc>
        <w:tc>
          <w:tcPr>
            <w:tcW w:w="146" w:type="dxa"/>
            <w:tcBorders/>
            <w:vAlign w:val="bottom"/>
          </w:tcPr>
          <w:p>
            <w:pPr>
              <w:pStyle w:val="TableContents"/>
              <w:bidi w:val="0"/>
              <w:spacing w:lineRule="auto" w:line="240" w:before="0" w:after="0"/>
              <w:ind w:left="0" w:right="0" w:hanging="0"/>
              <w:jc w:val="left"/>
              <w:rPr/>
            </w:pPr>
            <w:r>
              <w:rPr/>
              <w:t> </w:t>
            </w:r>
          </w:p>
        </w:tc>
        <w:tc>
          <w:tcPr>
            <w:tcW w:w="1164"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229,524 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Depreciation</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11,693 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16,853 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24  </w:t>
            </w:r>
          </w:p>
        </w:tc>
        <w:tc>
          <w:tcPr>
            <w:tcW w:w="60" w:type="dxa"/>
            <w:tcBorders/>
            <w:vAlign w:val="bottom"/>
          </w:tcPr>
          <w:p>
            <w:pPr>
              <w:pStyle w:val="TableContents"/>
              <w:bidi w:val="0"/>
              <w:spacing w:lineRule="auto" w:line="240" w:before="0" w:after="0"/>
              <w:ind w:left="0" w:right="0" w:hanging="0"/>
              <w:jc w:val="left"/>
              <w:rPr/>
            </w:pPr>
            <w:r>
              <w:rPr/>
              <w:t> </w:t>
            </w:r>
          </w:p>
        </w:tc>
        <w:tc>
          <w:tcPr>
            <w:tcW w:w="146" w:type="dxa"/>
            <w:tcBorders/>
            <w:vAlign w:val="bottom"/>
          </w:tcPr>
          <w:p>
            <w:pPr>
              <w:pStyle w:val="TableContents"/>
              <w:bidi w:val="0"/>
              <w:spacing w:lineRule="auto" w:line="240" w:before="0" w:after="0"/>
              <w:ind w:left="0" w:right="0" w:hanging="0"/>
              <w:jc w:val="left"/>
              <w:rPr/>
            </w:pPr>
            <w:r>
              <w:rPr/>
              <w:t> </w:t>
            </w:r>
          </w:p>
        </w:tc>
        <w:tc>
          <w:tcPr>
            <w:tcW w:w="1164"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28,570 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Amortization</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53 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5,236 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6" w:type="dxa"/>
            <w:tcBorders/>
            <w:vAlign w:val="bottom"/>
          </w:tcPr>
          <w:p>
            <w:pPr>
              <w:pStyle w:val="TableContents"/>
              <w:bidi w:val="0"/>
              <w:spacing w:lineRule="auto" w:line="240" w:before="0" w:after="0"/>
              <w:ind w:left="0" w:right="0" w:hanging="0"/>
              <w:jc w:val="left"/>
              <w:rPr/>
            </w:pPr>
            <w:r>
              <w:rPr/>
              <w:t> </w:t>
            </w:r>
          </w:p>
        </w:tc>
        <w:tc>
          <w:tcPr>
            <w:tcW w:w="1164"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5,289 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Other operating expense/(income)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80 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98"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 </w:t>
            </w:r>
          </w:p>
        </w:tc>
        <w:tc>
          <w:tcPr>
            <w:tcW w:w="60" w:type="dxa"/>
            <w:tcBorders/>
            <w:vAlign w:val="bottom"/>
          </w:tcPr>
          <w:p>
            <w:pPr>
              <w:pStyle w:val="TableContents"/>
              <w:bidi w:val="0"/>
              <w:spacing w:lineRule="auto" w:line="240" w:before="0" w:after="0"/>
              <w:ind w:left="0" w:right="0" w:hanging="0"/>
              <w:jc w:val="left"/>
              <w:rPr/>
            </w:pPr>
            <w:r>
              <w:rPr/>
              <w:t> </w:t>
            </w:r>
          </w:p>
        </w:tc>
        <w:tc>
          <w:tcPr>
            <w:tcW w:w="146"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6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70  </w:t>
            </w:r>
          </w:p>
        </w:tc>
      </w:tr>
      <w:tr>
        <w:trPr/>
        <w:tc>
          <w:tcPr>
            <w:tcW w:w="3215" w:type="dxa"/>
            <w:tcBorders/>
            <w:vAlign w:val="bottom"/>
          </w:tcPr>
          <w:p>
            <w:pPr>
              <w:pStyle w:val="TableContents"/>
              <w:bidi w:val="0"/>
              <w:spacing w:lineRule="auto" w:line="240" w:before="0" w:after="0"/>
              <w:ind w:left="240" w:right="0" w:hanging="0"/>
              <w:jc w:val="left"/>
              <w:rPr>
                <w:rFonts w:ascii="Times New Roman" w:hAnsi="Times New Roman"/>
                <w:color w:val="000000"/>
                <w:sz w:val="22"/>
              </w:rPr>
            </w:pPr>
            <w:r>
              <w:rPr>
                <w:rFonts w:ascii="Times New Roman" w:hAnsi="Times New Roman"/>
                <w:color w:val="000000"/>
                <w:sz w:val="22"/>
              </w:rPr>
              <w:t>Total costs and expenses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20"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727,196 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098"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387,754 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42,032  </w:t>
            </w:r>
          </w:p>
        </w:tc>
        <w:tc>
          <w:tcPr>
            <w:tcW w:w="60" w:type="dxa"/>
            <w:tcBorders/>
            <w:vAlign w:val="bottom"/>
          </w:tcPr>
          <w:p>
            <w:pPr>
              <w:pStyle w:val="TableContents"/>
              <w:bidi w:val="0"/>
              <w:spacing w:lineRule="auto" w:line="240" w:before="0" w:after="0"/>
              <w:ind w:left="0" w:right="0" w:hanging="0"/>
              <w:jc w:val="left"/>
              <w:rPr/>
            </w:pPr>
            <w:r>
              <w:rPr/>
              <w:t> </w:t>
            </w:r>
          </w:p>
        </w:tc>
        <w:tc>
          <w:tcPr>
            <w:tcW w:w="146"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164"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1,156,982  </w:t>
            </w:r>
          </w:p>
        </w:tc>
      </w:tr>
      <w:tr>
        <w:trPr/>
        <w:tc>
          <w:tcPr>
            <w:tcW w:w="3215" w:type="dxa"/>
            <w:tcBorders/>
            <w:vAlign w:val="bottom"/>
          </w:tcPr>
          <w:p>
            <w:pPr>
              <w:pStyle w:val="TableContents"/>
              <w:bidi w:val="0"/>
              <w:spacing w:lineRule="auto" w:line="240" w:before="0" w:after="0"/>
              <w:ind w:left="240" w:right="0" w:hanging="0"/>
              <w:jc w:val="left"/>
              <w:rPr>
                <w:rFonts w:ascii="Times New Roman" w:hAnsi="Times New Roman"/>
                <w:color w:val="000000"/>
                <w:sz w:val="22"/>
              </w:rPr>
            </w:pPr>
            <w:r>
              <w:rPr>
                <w:rFonts w:ascii="Times New Roman" w:hAnsi="Times New Roman"/>
                <w:color w:val="000000"/>
                <w:sz w:val="22"/>
              </w:rPr>
              <w:t>Income/(loss) from operations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136,162 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8"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79,652 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(42,032) </w:t>
            </w:r>
          </w:p>
        </w:tc>
        <w:tc>
          <w:tcPr>
            <w:tcW w:w="60" w:type="dxa"/>
            <w:tcBorders/>
            <w:vAlign w:val="bottom"/>
          </w:tcPr>
          <w:p>
            <w:pPr>
              <w:pStyle w:val="TableContents"/>
              <w:bidi w:val="0"/>
              <w:spacing w:lineRule="auto" w:line="240" w:before="0" w:after="0"/>
              <w:ind w:left="0" w:right="0" w:hanging="0"/>
              <w:jc w:val="left"/>
              <w:rPr/>
            </w:pPr>
            <w:r>
              <w:rPr/>
              <w:t> </w:t>
            </w:r>
          </w:p>
        </w:tc>
        <w:tc>
          <w:tcPr>
            <w:tcW w:w="146"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64"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173,782 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Interest expense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(104)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(321)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(1,876) </w:t>
            </w:r>
          </w:p>
        </w:tc>
        <w:tc>
          <w:tcPr>
            <w:tcW w:w="60" w:type="dxa"/>
            <w:tcBorders/>
            <w:vAlign w:val="bottom"/>
          </w:tcPr>
          <w:p>
            <w:pPr>
              <w:pStyle w:val="TableContents"/>
              <w:bidi w:val="0"/>
              <w:spacing w:lineRule="auto" w:line="240" w:before="0" w:after="0"/>
              <w:ind w:left="0" w:right="0" w:hanging="0"/>
              <w:jc w:val="left"/>
              <w:rPr/>
            </w:pPr>
            <w:r>
              <w:rPr/>
              <w:t> </w:t>
            </w:r>
          </w:p>
        </w:tc>
        <w:tc>
          <w:tcPr>
            <w:tcW w:w="146" w:type="dxa"/>
            <w:tcBorders/>
            <w:vAlign w:val="bottom"/>
          </w:tcPr>
          <w:p>
            <w:pPr>
              <w:pStyle w:val="TableContents"/>
              <w:bidi w:val="0"/>
              <w:spacing w:lineRule="auto" w:line="240" w:before="0" w:after="0"/>
              <w:ind w:left="0" w:right="0" w:hanging="0"/>
              <w:jc w:val="left"/>
              <w:rPr/>
            </w:pPr>
            <w:r>
              <w:rPr/>
              <w:t> </w:t>
            </w:r>
          </w:p>
        </w:tc>
        <w:tc>
          <w:tcPr>
            <w:tcW w:w="1164"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(2,301)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Intercompany interest income/(expense)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12,717 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9,088 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(21,805) </w:t>
            </w:r>
          </w:p>
        </w:tc>
        <w:tc>
          <w:tcPr>
            <w:tcW w:w="60" w:type="dxa"/>
            <w:tcBorders/>
            <w:vAlign w:val="bottom"/>
          </w:tcPr>
          <w:p>
            <w:pPr>
              <w:pStyle w:val="TableContents"/>
              <w:bidi w:val="0"/>
              <w:spacing w:lineRule="auto" w:line="240" w:before="0" w:after="0"/>
              <w:ind w:left="0" w:right="0" w:hanging="0"/>
              <w:jc w:val="left"/>
              <w:rPr/>
            </w:pPr>
            <w:r>
              <w:rPr/>
              <w:t> </w:t>
            </w:r>
          </w:p>
        </w:tc>
        <w:tc>
          <w:tcPr>
            <w:tcW w:w="146" w:type="dxa"/>
            <w:tcBorders/>
            <w:vAlign w:val="bottom"/>
          </w:tcPr>
          <w:p>
            <w:pPr>
              <w:pStyle w:val="TableContents"/>
              <w:bidi w:val="0"/>
              <w:spacing w:lineRule="auto" w:line="240" w:before="0" w:after="0"/>
              <w:ind w:left="0" w:right="0" w:hanging="0"/>
              <w:jc w:val="left"/>
              <w:rPr/>
            </w:pPr>
            <w:r>
              <w:rPr/>
              <w:t> </w:t>
            </w:r>
          </w:p>
        </w:tc>
        <w:tc>
          <w:tcPr>
            <w:tcW w:w="1164"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Other income—net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161 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98"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25 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8,502  </w:t>
            </w:r>
          </w:p>
        </w:tc>
        <w:tc>
          <w:tcPr>
            <w:tcW w:w="60" w:type="dxa"/>
            <w:tcBorders/>
            <w:vAlign w:val="bottom"/>
          </w:tcPr>
          <w:p>
            <w:pPr>
              <w:pStyle w:val="TableContents"/>
              <w:bidi w:val="0"/>
              <w:spacing w:lineRule="auto" w:line="240" w:before="0" w:after="0"/>
              <w:ind w:left="0" w:right="0" w:hanging="0"/>
              <w:jc w:val="left"/>
              <w:rPr/>
            </w:pPr>
            <w:r>
              <w:rPr/>
              <w:t> </w:t>
            </w:r>
          </w:p>
        </w:tc>
        <w:tc>
          <w:tcPr>
            <w:tcW w:w="146"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6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8,688  </w:t>
            </w:r>
          </w:p>
        </w:tc>
      </w:tr>
      <w:tr>
        <w:trPr/>
        <w:tc>
          <w:tcPr>
            <w:tcW w:w="3215" w:type="dxa"/>
            <w:tcBorders/>
            <w:vAlign w:val="bottom"/>
          </w:tcPr>
          <w:p>
            <w:pPr>
              <w:pStyle w:val="TableContents"/>
              <w:bidi w:val="0"/>
              <w:spacing w:lineRule="auto" w:line="240" w:before="0" w:after="0"/>
              <w:ind w:left="240" w:right="0" w:hanging="0"/>
              <w:jc w:val="left"/>
              <w:rPr>
                <w:rFonts w:ascii="Times New Roman" w:hAnsi="Times New Roman"/>
                <w:color w:val="000000"/>
                <w:sz w:val="22"/>
              </w:rPr>
            </w:pPr>
            <w:r>
              <w:rPr>
                <w:rFonts w:ascii="Times New Roman" w:hAnsi="Times New Roman"/>
                <w:color w:val="000000"/>
                <w:sz w:val="22"/>
              </w:rPr>
              <w:t>Income/(loss) before income taxes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148,936 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8"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88,444 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(57,211) </w:t>
            </w:r>
          </w:p>
        </w:tc>
        <w:tc>
          <w:tcPr>
            <w:tcW w:w="60" w:type="dxa"/>
            <w:tcBorders/>
            <w:vAlign w:val="bottom"/>
          </w:tcPr>
          <w:p>
            <w:pPr>
              <w:pStyle w:val="TableContents"/>
              <w:bidi w:val="0"/>
              <w:spacing w:lineRule="auto" w:line="240" w:before="0" w:after="0"/>
              <w:ind w:left="0" w:right="0" w:hanging="0"/>
              <w:jc w:val="left"/>
              <w:rPr/>
            </w:pPr>
            <w:r>
              <w:rPr/>
              <w:t> </w:t>
            </w:r>
          </w:p>
        </w:tc>
        <w:tc>
          <w:tcPr>
            <w:tcW w:w="146"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64"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180,169 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Income taxes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(35,818)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98"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(20,747)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10,401  </w:t>
            </w:r>
          </w:p>
        </w:tc>
        <w:tc>
          <w:tcPr>
            <w:tcW w:w="60" w:type="dxa"/>
            <w:tcBorders/>
            <w:vAlign w:val="bottom"/>
          </w:tcPr>
          <w:p>
            <w:pPr>
              <w:pStyle w:val="TableContents"/>
              <w:bidi w:val="0"/>
              <w:spacing w:lineRule="auto" w:line="240" w:before="0" w:after="0"/>
              <w:ind w:left="0" w:right="0" w:hanging="0"/>
              <w:jc w:val="left"/>
              <w:rPr/>
            </w:pPr>
            <w:r>
              <w:rPr/>
              <w:t> </w:t>
            </w:r>
          </w:p>
        </w:tc>
        <w:tc>
          <w:tcPr>
            <w:tcW w:w="146"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6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(46,164) </w:t>
            </w:r>
          </w:p>
        </w:tc>
      </w:tr>
      <w:tr>
        <w:trPr/>
        <w:tc>
          <w:tcPr>
            <w:tcW w:w="3215" w:type="dxa"/>
            <w:tcBorders/>
            <w:vAlign w:val="bottom"/>
          </w:tcPr>
          <w:p>
            <w:pPr>
              <w:pStyle w:val="TableContents"/>
              <w:bidi w:val="0"/>
              <w:spacing w:lineRule="auto" w:line="240" w:before="0" w:after="0"/>
              <w:ind w:left="240" w:right="0" w:hanging="0"/>
              <w:jc w:val="left"/>
              <w:rPr>
                <w:rFonts w:ascii="Times New Roman" w:hAnsi="Times New Roman"/>
                <w:color w:val="000000"/>
                <w:sz w:val="22"/>
              </w:rPr>
            </w:pPr>
            <w:r>
              <w:rPr>
                <w:rFonts w:ascii="Times New Roman" w:hAnsi="Times New Roman"/>
                <w:color w:val="000000"/>
                <w:sz w:val="22"/>
              </w:rPr>
              <w:t>Net income/(loss)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20"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113,118 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098"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67,697 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1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(46,810) </w:t>
            </w:r>
          </w:p>
        </w:tc>
        <w:tc>
          <w:tcPr>
            <w:tcW w:w="60" w:type="dxa"/>
            <w:tcBorders/>
            <w:vAlign w:val="bottom"/>
          </w:tcPr>
          <w:p>
            <w:pPr>
              <w:pStyle w:val="TableContents"/>
              <w:bidi w:val="0"/>
              <w:spacing w:lineRule="auto" w:line="240" w:before="0" w:after="0"/>
              <w:ind w:left="0" w:right="0" w:hanging="0"/>
              <w:jc w:val="left"/>
              <w:rPr/>
            </w:pPr>
            <w:r>
              <w:rPr/>
              <w:t> </w:t>
            </w:r>
          </w:p>
        </w:tc>
        <w:tc>
          <w:tcPr>
            <w:tcW w:w="146"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164"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134,005  </w:t>
            </w:r>
          </w:p>
        </w:tc>
      </w:tr>
      <w:tr>
        <w:trPr/>
        <w:tc>
          <w:tcPr>
            <w:tcW w:w="3215" w:type="dxa"/>
            <w:tcBorders/>
            <w:vAlign w:val="bottom"/>
          </w:tcPr>
          <w:p>
            <w:pPr>
              <w:pStyle w:val="TableContents"/>
              <w:bidi w:val="0"/>
              <w:spacing w:lineRule="auto" w:line="240" w:before="0" w:after="0"/>
              <w:ind w:left="0" w:right="0" w:hanging="0"/>
              <w:jc w:val="left"/>
              <w:rPr>
                <w:rFonts w:cs="Times New Roman"/>
                <w:bCs/>
                <w:color w:val="000000"/>
                <w:szCs w:val="22"/>
              </w:rPr>
            </w:pPr>
            <w:r>
              <w:rPr>
                <w:rFonts w:cs="Times New Roman"/>
                <w:bCs/>
                <w:color w:val="000000"/>
                <w:szCs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8"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6"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64"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321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2025 (b)</w:t>
            </w:r>
          </w:p>
        </w:tc>
        <w:tc>
          <w:tcPr>
            <w:tcW w:w="6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6" w:type="dxa"/>
            <w:tcBorders/>
            <w:vAlign w:val="bottom"/>
          </w:tcPr>
          <w:p>
            <w:pPr>
              <w:pStyle w:val="TableContents"/>
              <w:bidi w:val="0"/>
              <w:spacing w:lineRule="auto" w:line="240" w:before="0" w:after="0"/>
              <w:ind w:left="0" w:right="0" w:hanging="0"/>
              <w:jc w:val="left"/>
              <w:rPr/>
            </w:pPr>
            <w:r>
              <w:rPr/>
              <w:t> </w:t>
            </w:r>
          </w:p>
        </w:tc>
        <w:tc>
          <w:tcPr>
            <w:tcW w:w="1164" w:type="dxa"/>
            <w:tcBorders/>
            <w:vAlign w:val="bottom"/>
          </w:tcPr>
          <w:p>
            <w:pPr>
              <w:pStyle w:val="TableContents"/>
              <w:bidi w:val="0"/>
              <w:spacing w:lineRule="auto" w:line="240" w:before="0" w:after="0"/>
              <w:ind w:left="0" w:right="0" w:hanging="0"/>
              <w:jc w:val="left"/>
              <w:rPr/>
            </w:pPr>
            <w:r>
              <w:rPr/>
              <w:t> </w:t>
            </w:r>
          </w:p>
        </w:tc>
      </w:tr>
      <w:tr>
        <w:trPr/>
        <w:tc>
          <w:tcPr>
            <w:tcW w:w="3215" w:type="dxa"/>
            <w:tcBorders>
              <w:top w:val="single" w:sz="8" w:space="0" w:color="000000"/>
            </w:tcBorders>
            <w:tcMar>
              <w:top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Service revenues and sales</w:t>
            </w:r>
          </w:p>
        </w:tc>
        <w:tc>
          <w:tcPr>
            <w:tcW w:w="6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2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803,600 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098"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462,141 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12"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6"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16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1,265,741 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Cost of services provided and goods sold</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633,451 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8"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231,184 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tcBorders>
            <w:tcMar>
              <w:top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6"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64"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864,635 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Selling, general and administrative expenses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51,624 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123,184 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31,102  </w:t>
            </w:r>
          </w:p>
        </w:tc>
        <w:tc>
          <w:tcPr>
            <w:tcW w:w="60" w:type="dxa"/>
            <w:tcBorders/>
            <w:vAlign w:val="bottom"/>
          </w:tcPr>
          <w:p>
            <w:pPr>
              <w:pStyle w:val="TableContents"/>
              <w:bidi w:val="0"/>
              <w:spacing w:lineRule="auto" w:line="240" w:before="0" w:after="0"/>
              <w:ind w:left="0" w:right="0" w:hanging="0"/>
              <w:jc w:val="left"/>
              <w:rPr/>
            </w:pPr>
            <w:r>
              <w:rPr/>
              <w:t> </w:t>
            </w:r>
          </w:p>
        </w:tc>
        <w:tc>
          <w:tcPr>
            <w:tcW w:w="146" w:type="dxa"/>
            <w:tcBorders/>
            <w:vAlign w:val="bottom"/>
          </w:tcPr>
          <w:p>
            <w:pPr>
              <w:pStyle w:val="TableContents"/>
              <w:bidi w:val="0"/>
              <w:spacing w:lineRule="auto" w:line="240" w:before="0" w:after="0"/>
              <w:ind w:left="0" w:right="0" w:hanging="0"/>
              <w:jc w:val="left"/>
              <w:rPr/>
            </w:pPr>
            <w:r>
              <w:rPr/>
              <w:t> </w:t>
            </w:r>
          </w:p>
        </w:tc>
        <w:tc>
          <w:tcPr>
            <w:tcW w:w="1164"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205,910 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Depreciation</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10,509 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16,601 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24  </w:t>
            </w:r>
          </w:p>
        </w:tc>
        <w:tc>
          <w:tcPr>
            <w:tcW w:w="60" w:type="dxa"/>
            <w:tcBorders/>
            <w:vAlign w:val="bottom"/>
          </w:tcPr>
          <w:p>
            <w:pPr>
              <w:pStyle w:val="TableContents"/>
              <w:bidi w:val="0"/>
              <w:spacing w:lineRule="auto" w:line="240" w:before="0" w:after="0"/>
              <w:ind w:left="0" w:right="0" w:hanging="0"/>
              <w:jc w:val="left"/>
              <w:rPr/>
            </w:pPr>
            <w:r>
              <w:rPr/>
              <w:t> </w:t>
            </w:r>
          </w:p>
        </w:tc>
        <w:tc>
          <w:tcPr>
            <w:tcW w:w="146" w:type="dxa"/>
            <w:tcBorders/>
            <w:vAlign w:val="bottom"/>
          </w:tcPr>
          <w:p>
            <w:pPr>
              <w:pStyle w:val="TableContents"/>
              <w:bidi w:val="0"/>
              <w:spacing w:lineRule="auto" w:line="240" w:before="0" w:after="0"/>
              <w:ind w:left="0" w:right="0" w:hanging="0"/>
              <w:jc w:val="left"/>
              <w:rPr/>
            </w:pPr>
            <w:r>
              <w:rPr/>
              <w:t> </w:t>
            </w:r>
          </w:p>
        </w:tc>
        <w:tc>
          <w:tcPr>
            <w:tcW w:w="1164"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27,134 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Amortization</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52 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5,091 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6" w:type="dxa"/>
            <w:tcBorders/>
            <w:vAlign w:val="bottom"/>
          </w:tcPr>
          <w:p>
            <w:pPr>
              <w:pStyle w:val="TableContents"/>
              <w:bidi w:val="0"/>
              <w:spacing w:lineRule="auto" w:line="240" w:before="0" w:after="0"/>
              <w:ind w:left="0" w:right="0" w:hanging="0"/>
              <w:jc w:val="left"/>
              <w:rPr/>
            </w:pPr>
            <w:r>
              <w:rPr/>
              <w:t> </w:t>
            </w:r>
          </w:p>
        </w:tc>
        <w:tc>
          <w:tcPr>
            <w:tcW w:w="1164"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5,143 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Other operating expense/(income)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119 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98"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(42)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2"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6"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6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77  </w:t>
            </w:r>
          </w:p>
        </w:tc>
      </w:tr>
      <w:tr>
        <w:trPr/>
        <w:tc>
          <w:tcPr>
            <w:tcW w:w="3215" w:type="dxa"/>
            <w:tcBorders/>
            <w:vAlign w:val="bottom"/>
          </w:tcPr>
          <w:p>
            <w:pPr>
              <w:pStyle w:val="TableContents"/>
              <w:bidi w:val="0"/>
              <w:spacing w:lineRule="auto" w:line="240" w:before="0" w:after="0"/>
              <w:ind w:left="240" w:right="0" w:hanging="0"/>
              <w:jc w:val="left"/>
              <w:rPr>
                <w:rFonts w:ascii="Times New Roman" w:hAnsi="Times New Roman"/>
                <w:color w:val="000000"/>
                <w:sz w:val="22"/>
              </w:rPr>
            </w:pPr>
            <w:r>
              <w:rPr>
                <w:rFonts w:ascii="Times New Roman" w:hAnsi="Times New Roman"/>
                <w:color w:val="000000"/>
                <w:sz w:val="22"/>
              </w:rPr>
              <w:t>Total costs and expenses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20"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695,755 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098"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376,018 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31,126  </w:t>
            </w:r>
          </w:p>
        </w:tc>
        <w:tc>
          <w:tcPr>
            <w:tcW w:w="60" w:type="dxa"/>
            <w:tcBorders/>
            <w:vAlign w:val="bottom"/>
          </w:tcPr>
          <w:p>
            <w:pPr>
              <w:pStyle w:val="TableContents"/>
              <w:bidi w:val="0"/>
              <w:spacing w:lineRule="auto" w:line="240" w:before="0" w:after="0"/>
              <w:ind w:left="0" w:right="0" w:hanging="0"/>
              <w:jc w:val="left"/>
              <w:rPr/>
            </w:pPr>
            <w:r>
              <w:rPr/>
              <w:t> </w:t>
            </w:r>
          </w:p>
        </w:tc>
        <w:tc>
          <w:tcPr>
            <w:tcW w:w="146"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164"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1,102,899  </w:t>
            </w:r>
          </w:p>
        </w:tc>
      </w:tr>
      <w:tr>
        <w:trPr/>
        <w:tc>
          <w:tcPr>
            <w:tcW w:w="3215" w:type="dxa"/>
            <w:tcBorders/>
            <w:vAlign w:val="bottom"/>
          </w:tcPr>
          <w:p>
            <w:pPr>
              <w:pStyle w:val="TableContents"/>
              <w:bidi w:val="0"/>
              <w:spacing w:lineRule="auto" w:line="240" w:before="0" w:after="0"/>
              <w:ind w:left="240" w:right="0" w:hanging="0"/>
              <w:jc w:val="left"/>
              <w:rPr>
                <w:rFonts w:ascii="Times New Roman" w:hAnsi="Times New Roman"/>
                <w:color w:val="000000"/>
                <w:sz w:val="22"/>
              </w:rPr>
            </w:pPr>
            <w:r>
              <w:rPr>
                <w:rFonts w:ascii="Times New Roman" w:hAnsi="Times New Roman"/>
                <w:color w:val="000000"/>
                <w:sz w:val="22"/>
              </w:rPr>
              <w:t>Income/(loss) from operations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107,845 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8"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86,123 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(31,126) </w:t>
            </w:r>
          </w:p>
        </w:tc>
        <w:tc>
          <w:tcPr>
            <w:tcW w:w="60" w:type="dxa"/>
            <w:tcBorders/>
            <w:vAlign w:val="bottom"/>
          </w:tcPr>
          <w:p>
            <w:pPr>
              <w:pStyle w:val="TableContents"/>
              <w:bidi w:val="0"/>
              <w:spacing w:lineRule="auto" w:line="240" w:before="0" w:after="0"/>
              <w:ind w:left="0" w:right="0" w:hanging="0"/>
              <w:jc w:val="left"/>
              <w:rPr/>
            </w:pPr>
            <w:r>
              <w:rPr/>
              <w:t> </w:t>
            </w:r>
          </w:p>
        </w:tc>
        <w:tc>
          <w:tcPr>
            <w:tcW w:w="146"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64"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162,842 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Interest expense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(95)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(261)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(416) </w:t>
            </w:r>
          </w:p>
        </w:tc>
        <w:tc>
          <w:tcPr>
            <w:tcW w:w="60" w:type="dxa"/>
            <w:tcBorders/>
            <w:vAlign w:val="bottom"/>
          </w:tcPr>
          <w:p>
            <w:pPr>
              <w:pStyle w:val="TableContents"/>
              <w:bidi w:val="0"/>
              <w:spacing w:lineRule="auto" w:line="240" w:before="0" w:after="0"/>
              <w:ind w:left="0" w:right="0" w:hanging="0"/>
              <w:jc w:val="left"/>
              <w:rPr/>
            </w:pPr>
            <w:r>
              <w:rPr/>
              <w:t> </w:t>
            </w:r>
          </w:p>
        </w:tc>
        <w:tc>
          <w:tcPr>
            <w:tcW w:w="146" w:type="dxa"/>
            <w:tcBorders/>
            <w:vAlign w:val="bottom"/>
          </w:tcPr>
          <w:p>
            <w:pPr>
              <w:pStyle w:val="TableContents"/>
              <w:bidi w:val="0"/>
              <w:spacing w:lineRule="auto" w:line="240" w:before="0" w:after="0"/>
              <w:ind w:left="0" w:right="0" w:hanging="0"/>
              <w:jc w:val="left"/>
              <w:rPr/>
            </w:pPr>
            <w:r>
              <w:rPr/>
              <w:t> </w:t>
            </w:r>
          </w:p>
        </w:tc>
        <w:tc>
          <w:tcPr>
            <w:tcW w:w="1164"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(772)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Intercompany interest income/(expense)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10,750 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7,900 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(18,650) </w:t>
            </w:r>
          </w:p>
        </w:tc>
        <w:tc>
          <w:tcPr>
            <w:tcW w:w="60" w:type="dxa"/>
            <w:tcBorders/>
            <w:vAlign w:val="bottom"/>
          </w:tcPr>
          <w:p>
            <w:pPr>
              <w:pStyle w:val="TableContents"/>
              <w:bidi w:val="0"/>
              <w:spacing w:lineRule="auto" w:line="240" w:before="0" w:after="0"/>
              <w:ind w:left="0" w:right="0" w:hanging="0"/>
              <w:jc w:val="left"/>
              <w:rPr/>
            </w:pPr>
            <w:r>
              <w:rPr/>
              <w:t> </w:t>
            </w:r>
          </w:p>
        </w:tc>
        <w:tc>
          <w:tcPr>
            <w:tcW w:w="146" w:type="dxa"/>
            <w:tcBorders/>
            <w:vAlign w:val="bottom"/>
          </w:tcPr>
          <w:p>
            <w:pPr>
              <w:pStyle w:val="TableContents"/>
              <w:bidi w:val="0"/>
              <w:spacing w:lineRule="auto" w:line="240" w:before="0" w:after="0"/>
              <w:ind w:left="0" w:right="0" w:hanging="0"/>
              <w:jc w:val="left"/>
              <w:rPr/>
            </w:pPr>
            <w:r>
              <w:rPr/>
              <w:t> </w:t>
            </w:r>
          </w:p>
        </w:tc>
        <w:tc>
          <w:tcPr>
            <w:tcW w:w="1164"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Other income—net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110 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98"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32 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4,577  </w:t>
            </w:r>
          </w:p>
        </w:tc>
        <w:tc>
          <w:tcPr>
            <w:tcW w:w="60" w:type="dxa"/>
            <w:tcBorders/>
            <w:vAlign w:val="bottom"/>
          </w:tcPr>
          <w:p>
            <w:pPr>
              <w:pStyle w:val="TableContents"/>
              <w:bidi w:val="0"/>
              <w:spacing w:lineRule="auto" w:line="240" w:before="0" w:after="0"/>
              <w:ind w:left="0" w:right="0" w:hanging="0"/>
              <w:jc w:val="left"/>
              <w:rPr/>
            </w:pPr>
            <w:r>
              <w:rPr/>
              <w:t> </w:t>
            </w:r>
          </w:p>
        </w:tc>
        <w:tc>
          <w:tcPr>
            <w:tcW w:w="146"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6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4,719  </w:t>
            </w:r>
          </w:p>
        </w:tc>
      </w:tr>
      <w:tr>
        <w:trPr/>
        <w:tc>
          <w:tcPr>
            <w:tcW w:w="3215" w:type="dxa"/>
            <w:tcBorders/>
            <w:vAlign w:val="bottom"/>
          </w:tcPr>
          <w:p>
            <w:pPr>
              <w:pStyle w:val="TableContents"/>
              <w:bidi w:val="0"/>
              <w:spacing w:lineRule="auto" w:line="240" w:before="0" w:after="0"/>
              <w:ind w:left="240" w:right="0" w:hanging="0"/>
              <w:jc w:val="left"/>
              <w:rPr>
                <w:rFonts w:ascii="Times New Roman" w:hAnsi="Times New Roman"/>
                <w:color w:val="000000"/>
                <w:sz w:val="22"/>
              </w:rPr>
            </w:pPr>
            <w:r>
              <w:rPr>
                <w:rFonts w:ascii="Times New Roman" w:hAnsi="Times New Roman"/>
                <w:color w:val="000000"/>
                <w:sz w:val="22"/>
              </w:rPr>
              <w:t>Income/(loss) before income taxes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118,610 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8"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93,794 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(45,615) </w:t>
            </w:r>
          </w:p>
        </w:tc>
        <w:tc>
          <w:tcPr>
            <w:tcW w:w="60" w:type="dxa"/>
            <w:tcBorders/>
            <w:vAlign w:val="bottom"/>
          </w:tcPr>
          <w:p>
            <w:pPr>
              <w:pStyle w:val="TableContents"/>
              <w:bidi w:val="0"/>
              <w:spacing w:lineRule="auto" w:line="240" w:before="0" w:after="0"/>
              <w:ind w:left="0" w:right="0" w:hanging="0"/>
              <w:jc w:val="left"/>
              <w:rPr/>
            </w:pPr>
            <w:r>
              <w:rPr/>
              <w:t> </w:t>
            </w:r>
          </w:p>
        </w:tc>
        <w:tc>
          <w:tcPr>
            <w:tcW w:w="146"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64"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166,789 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Income taxes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(30,361)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98"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(21,936)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9,758  </w:t>
            </w:r>
          </w:p>
        </w:tc>
        <w:tc>
          <w:tcPr>
            <w:tcW w:w="60" w:type="dxa"/>
            <w:tcBorders/>
            <w:vAlign w:val="bottom"/>
          </w:tcPr>
          <w:p>
            <w:pPr>
              <w:pStyle w:val="TableContents"/>
              <w:bidi w:val="0"/>
              <w:spacing w:lineRule="auto" w:line="240" w:before="0" w:after="0"/>
              <w:ind w:left="0" w:right="0" w:hanging="0"/>
              <w:jc w:val="left"/>
              <w:rPr/>
            </w:pPr>
            <w:r>
              <w:rPr/>
              <w:t> </w:t>
            </w:r>
          </w:p>
        </w:tc>
        <w:tc>
          <w:tcPr>
            <w:tcW w:w="146"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6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(42,539) </w:t>
            </w:r>
          </w:p>
        </w:tc>
      </w:tr>
      <w:tr>
        <w:trPr/>
        <w:tc>
          <w:tcPr>
            <w:tcW w:w="3215" w:type="dxa"/>
            <w:tcBorders/>
            <w:vAlign w:val="bottom"/>
          </w:tcPr>
          <w:p>
            <w:pPr>
              <w:pStyle w:val="TableContents"/>
              <w:bidi w:val="0"/>
              <w:spacing w:lineRule="auto" w:line="240" w:before="0" w:after="0"/>
              <w:ind w:left="240" w:right="0" w:hanging="0"/>
              <w:jc w:val="left"/>
              <w:rPr>
                <w:rFonts w:ascii="Times New Roman" w:hAnsi="Times New Roman"/>
                <w:color w:val="000000"/>
                <w:sz w:val="22"/>
              </w:rPr>
            </w:pPr>
            <w:r>
              <w:rPr>
                <w:rFonts w:ascii="Times New Roman" w:hAnsi="Times New Roman"/>
                <w:color w:val="000000"/>
                <w:sz w:val="22"/>
              </w:rPr>
              <w:t>Net income/(loss)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20"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88,249 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098"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71,858 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1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(35,857) </w:t>
            </w:r>
          </w:p>
        </w:tc>
        <w:tc>
          <w:tcPr>
            <w:tcW w:w="60" w:type="dxa"/>
            <w:tcBorders/>
            <w:vAlign w:val="bottom"/>
          </w:tcPr>
          <w:p>
            <w:pPr>
              <w:pStyle w:val="TableContents"/>
              <w:bidi w:val="0"/>
              <w:spacing w:lineRule="auto" w:line="240" w:before="0" w:after="0"/>
              <w:ind w:left="0" w:right="0" w:hanging="0"/>
              <w:jc w:val="left"/>
              <w:rPr/>
            </w:pPr>
            <w:r>
              <w:rPr/>
              <w:t> </w:t>
            </w:r>
          </w:p>
        </w:tc>
        <w:tc>
          <w:tcPr>
            <w:tcW w:w="146"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164"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124,250  </w:t>
            </w:r>
          </w:p>
        </w:tc>
      </w:tr>
      <w:tr>
        <w:trPr/>
        <w:tc>
          <w:tcPr>
            <w:tcW w:w="3215" w:type="dxa"/>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8"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6"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64"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3215" w:type="dxa"/>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6" w:type="dxa"/>
            <w:tcBorders/>
            <w:vAlign w:val="bottom"/>
          </w:tcPr>
          <w:p>
            <w:pPr>
              <w:pStyle w:val="TableContents"/>
              <w:bidi w:val="0"/>
              <w:spacing w:lineRule="auto" w:line="240" w:before="0" w:after="0"/>
              <w:ind w:left="0" w:right="0" w:hanging="0"/>
              <w:jc w:val="left"/>
              <w:rPr/>
            </w:pPr>
            <w:r>
              <w:rPr/>
              <w:t> </w:t>
            </w:r>
          </w:p>
        </w:tc>
        <w:tc>
          <w:tcPr>
            <w:tcW w:w="1164" w:type="dxa"/>
            <w:tcBorders/>
            <w:vAlign w:val="bottom"/>
          </w:tcPr>
          <w:p>
            <w:pPr>
              <w:pStyle w:val="TableContents"/>
              <w:bidi w:val="0"/>
              <w:spacing w:lineRule="auto" w:line="240" w:before="0" w:after="0"/>
              <w:ind w:left="0" w:right="0" w:hanging="0"/>
              <w:jc w:val="left"/>
              <w:rPr/>
            </w:pPr>
            <w:r>
              <w:rPr/>
              <w:t> </w:t>
            </w:r>
          </w:p>
        </w:tc>
      </w:tr>
      <w:tr>
        <w:trPr/>
        <w:tc>
          <w:tcPr>
            <w:tcW w:w="8145" w:type="dxa"/>
            <w:gridSpan w:val="13"/>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The "Footnotes to Financial Statements" are integral parts of this financial information.</w:t>
            </w:r>
          </w:p>
        </w:tc>
      </w:tr>
    </w:tbl>
    <w:p>
      <w:pPr>
        <w:pStyle w:val="TextBody"/>
        <w:bidi w:val="0"/>
        <w:spacing w:lineRule="auto" w:line="240" w:before="0" w:after="0"/>
        <w:ind w:left="720" w:right="1340" w:hanging="0"/>
        <w:jc w:val="left"/>
        <w:rPr>
          <w:rFonts w:cs="Times New Roman"/>
          <w:szCs w:val="24"/>
        </w:rPr>
      </w:pPr>
      <w:r>
        <w:rPr>
          <w:rFonts w:cs="Times New Roman"/>
          <w:szCs w:val="24"/>
        </w:rPr>
        <w:t xml:space="preserve">﻿ </w:t>
      </w:r>
    </w:p>
    <w:p>
      <w:pPr>
        <w:pStyle w:val="HorizontalLine"/>
        <w:pBdr>
          <w:bottom w:val="double" w:sz="6" w:space="0" w:color="808080"/>
        </w:pBdr>
        <w:bidi w:val="0"/>
        <w:ind w:left="720" w:right="1340" w:hanging="0"/>
        <w:jc w:val="left"/>
        <w:rPr/>
      </w:pPr>
      <w:r>
        <w:rPr/>
      </w:r>
    </w:p>
    <w:p>
      <w:pPr>
        <w:pStyle w:val="TextBody"/>
        <w:bidi w:val="0"/>
        <w:ind w:left="720" w:right="1340" w:hanging="0"/>
        <w:jc w:val="left"/>
        <w:rPr/>
      </w:pPr>
      <w:r>
        <w:rPr/>
        <w:t> </w:t>
      </w:r>
      <w:r>
        <w:br w:type="page"/>
      </w:r>
    </w:p>
    <w:p>
      <w:pPr>
        <w:pStyle w:val="TextBody"/>
        <w:bidi w:val="0"/>
        <w:spacing w:lineRule="auto" w:line="256" w:before="0" w:after="160"/>
        <w:ind w:left="720" w:right="1340" w:hanging="0"/>
        <w:jc w:val="left"/>
        <w:rPr>
          <w:rFonts w:cs="Times New Roman"/>
          <w:szCs w:val="20"/>
        </w:rPr>
      </w:pPr>
      <w:r>
        <w:rPr>
          <w:rFonts w:cs="Times New Roman"/>
          <w:szCs w:val="20"/>
        </w:rPr>
        <w:t xml:space="preserve">﻿ </w:t>
      </w:r>
    </w:p>
    <w:p>
      <w:pPr>
        <w:pStyle w:val="TextBody"/>
        <w:bidi w:val="0"/>
        <w:spacing w:lineRule="auto" w:line="256" w:before="0" w:after="0"/>
        <w:ind w:left="720" w:right="1340" w:hanging="0"/>
        <w:jc w:val="left"/>
        <w:rPr>
          <w:rFonts w:cs="Times New Roman"/>
          <w:szCs w:val="2"/>
        </w:rPr>
      </w:pPr>
      <w:r>
        <w:rPr>
          <w:rFonts w:cs="Times New Roman"/>
          <w:szCs w:val="2"/>
        </w:rPr>
        <w:t xml:space="preserve">﻿ </w:t>
      </w:r>
    </w:p>
    <w:tbl>
      <w:tblPr>
        <w:tblW w:w="8145" w:type="dxa"/>
        <w:jc w:val="left"/>
        <w:tblInd w:w="720" w:type="dxa"/>
        <w:tblLayout w:type="fixed"/>
        <w:tblCellMar>
          <w:top w:w="0" w:type="dxa"/>
          <w:left w:w="0" w:type="dxa"/>
          <w:bottom w:w="0" w:type="dxa"/>
          <w:right w:w="0" w:type="dxa"/>
        </w:tblCellMar>
      </w:tblPr>
      <w:tblGrid>
        <w:gridCol w:w="3335"/>
        <w:gridCol w:w="60"/>
        <w:gridCol w:w="140"/>
        <w:gridCol w:w="800"/>
        <w:gridCol w:w="60"/>
        <w:gridCol w:w="188"/>
        <w:gridCol w:w="1077"/>
        <w:gridCol w:w="60"/>
        <w:gridCol w:w="143"/>
        <w:gridCol w:w="912"/>
        <w:gridCol w:w="60"/>
        <w:gridCol w:w="170"/>
        <w:gridCol w:w="1140"/>
      </w:tblGrid>
      <w:tr>
        <w:trPr/>
        <w:tc>
          <w:tcPr>
            <w:tcW w:w="3335"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lineRule="auto" w:line="240" w:before="0" w:after="0"/>
              <w:ind w:left="0" w:right="0" w:hanging="0"/>
              <w:jc w:val="left"/>
              <w:rPr/>
            </w:pPr>
            <w:r>
              <w:rPr/>
              <w:t> </w:t>
            </w:r>
          </w:p>
        </w:tc>
      </w:tr>
      <w:tr>
        <w:trPr/>
        <w:tc>
          <w:tcPr>
            <w:tcW w:w="8145" w:type="dxa"/>
            <w:gridSpan w:val="13"/>
            <w:tcBorders/>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CHEMED CORPORATION AND SUBSIDIARY COMPANIES</w:t>
            </w:r>
          </w:p>
        </w:tc>
      </w:tr>
      <w:tr>
        <w:trPr/>
        <w:tc>
          <w:tcPr>
            <w:tcW w:w="8145" w:type="dxa"/>
            <w:gridSpan w:val="13"/>
            <w:tcBorders/>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CONSOLIDATING SUMMARIES OF EBITDA</w:t>
            </w:r>
          </w:p>
        </w:tc>
      </w:tr>
      <w:tr>
        <w:trPr/>
        <w:tc>
          <w:tcPr>
            <w:tcW w:w="8145" w:type="dxa"/>
            <w:gridSpan w:val="13"/>
            <w:tcBorders/>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FOR THREE MONTHS ENDED JUNE 30, 2026 AND 2025</w:t>
            </w:r>
          </w:p>
        </w:tc>
      </w:tr>
      <w:tr>
        <w:trPr/>
        <w:tc>
          <w:tcPr>
            <w:tcW w:w="8145" w:type="dxa"/>
            <w:gridSpan w:val="13"/>
            <w:tcBorders/>
            <w:vAlign w:val="bottom"/>
          </w:tcPr>
          <w:p>
            <w:pPr>
              <w:pStyle w:val="TableContents"/>
              <w:bidi w:val="0"/>
              <w:spacing w:lineRule="auto" w:line="240" w:before="0" w:after="0"/>
              <w:ind w:left="0" w:right="0" w:hanging="0"/>
              <w:jc w:val="center"/>
              <w:rPr>
                <w:rFonts w:ascii="Times New Roman" w:hAnsi="Times New Roman"/>
                <w:color w:val="000000"/>
                <w:sz w:val="22"/>
              </w:rPr>
            </w:pPr>
            <w:r>
              <w:rPr>
                <w:rFonts w:ascii="Times New Roman" w:hAnsi="Times New Roman"/>
                <w:color w:val="000000"/>
                <w:sz w:val="22"/>
              </w:rPr>
              <w:t>(in thousands)(unaudited)</w:t>
            </w:r>
          </w:p>
        </w:tc>
      </w:tr>
      <w:tr>
        <w:trPr/>
        <w:tc>
          <w:tcPr>
            <w:tcW w:w="3335" w:type="dxa"/>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940" w:type="dxa"/>
            <w:gridSpan w:val="2"/>
            <w:tcBorders/>
            <w:vAlign w:val="bottom"/>
          </w:tcPr>
          <w:p>
            <w:pPr>
              <w:pStyle w:val="TableContents"/>
              <w:bidi w:val="0"/>
              <w:spacing w:lineRule="auto" w:line="240" w:before="0" w:after="0"/>
              <w:ind w:left="0" w:right="0" w:hanging="0"/>
              <w:jc w:val="center"/>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65" w:type="dxa"/>
            <w:gridSpan w:val="2"/>
            <w:tcBorders/>
            <w:vAlign w:val="bottom"/>
          </w:tcPr>
          <w:p>
            <w:pPr>
              <w:pStyle w:val="TableContents"/>
              <w:bidi w:val="0"/>
              <w:spacing w:lineRule="auto" w:line="240" w:before="0" w:after="0"/>
              <w:ind w:left="0" w:right="0" w:hanging="0"/>
              <w:jc w:val="center"/>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055" w:type="dxa"/>
            <w:gridSpan w:val="2"/>
            <w:tcBorders/>
            <w:vAlign w:val="bottom"/>
          </w:tcPr>
          <w:p>
            <w:pPr>
              <w:pStyle w:val="TableContents"/>
              <w:bidi w:val="0"/>
              <w:spacing w:lineRule="auto" w:line="240" w:before="0" w:after="0"/>
              <w:ind w:left="0" w:right="0" w:hanging="0"/>
              <w:jc w:val="center"/>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310" w:type="dxa"/>
            <w:gridSpan w:val="2"/>
            <w:tcBorders/>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Chemed</w:t>
            </w:r>
          </w:p>
        </w:tc>
      </w:tr>
      <w:tr>
        <w:trPr/>
        <w:tc>
          <w:tcPr>
            <w:tcW w:w="3335" w:type="dxa"/>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940"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VITAS</w:t>
            </w:r>
          </w:p>
        </w:tc>
        <w:tc>
          <w:tcPr>
            <w:tcW w:w="60" w:type="dxa"/>
            <w:tcBorders/>
            <w:vAlign w:val="bottom"/>
          </w:tcPr>
          <w:p>
            <w:pPr>
              <w:pStyle w:val="TableContents"/>
              <w:bidi w:val="0"/>
              <w:spacing w:lineRule="auto" w:line="240" w:before="0" w:after="0"/>
              <w:ind w:left="0" w:right="0" w:hanging="0"/>
              <w:jc w:val="left"/>
              <w:rPr/>
            </w:pPr>
            <w:r>
              <w:rPr/>
              <w:t> </w:t>
            </w:r>
          </w:p>
        </w:tc>
        <w:tc>
          <w:tcPr>
            <w:tcW w:w="1265"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Roto-Rooter</w:t>
            </w:r>
          </w:p>
        </w:tc>
        <w:tc>
          <w:tcPr>
            <w:tcW w:w="60" w:type="dxa"/>
            <w:tcBorders/>
            <w:vAlign w:val="bottom"/>
          </w:tcPr>
          <w:p>
            <w:pPr>
              <w:pStyle w:val="TableContents"/>
              <w:bidi w:val="0"/>
              <w:spacing w:lineRule="auto" w:line="240" w:before="0" w:after="0"/>
              <w:ind w:left="0" w:right="0" w:hanging="0"/>
              <w:jc w:val="left"/>
              <w:rPr/>
            </w:pPr>
            <w:r>
              <w:rPr/>
              <w:t> </w:t>
            </w:r>
          </w:p>
        </w:tc>
        <w:tc>
          <w:tcPr>
            <w:tcW w:w="1055"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Corporate</w:t>
            </w:r>
          </w:p>
        </w:tc>
        <w:tc>
          <w:tcPr>
            <w:tcW w:w="60" w:type="dxa"/>
            <w:tcBorders/>
            <w:vAlign w:val="bottom"/>
          </w:tcPr>
          <w:p>
            <w:pPr>
              <w:pStyle w:val="TableContents"/>
              <w:bidi w:val="0"/>
              <w:spacing w:lineRule="auto" w:line="240" w:before="0" w:after="0"/>
              <w:ind w:left="0" w:right="0" w:hanging="0"/>
              <w:jc w:val="left"/>
              <w:rPr/>
            </w:pPr>
            <w:r>
              <w:rPr/>
              <w:t> </w:t>
            </w:r>
          </w:p>
        </w:tc>
        <w:tc>
          <w:tcPr>
            <w:tcW w:w="1310"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Consolidated</w:t>
            </w:r>
          </w:p>
        </w:tc>
      </w:tr>
      <w:tr>
        <w:trPr/>
        <w:tc>
          <w:tcPr>
            <w:tcW w:w="333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b/>
                <w:color w:val="000000"/>
                <w:sz w:val="22"/>
              </w:rPr>
            </w:pPr>
            <w:r>
              <w:rPr>
                <w:rFonts w:ascii="Times New Roman" w:hAnsi="Times New Roman"/>
                <w:b/>
                <w:color w:val="000000"/>
                <w:sz w:val="22"/>
              </w:rPr>
              <w:t>2026</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0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7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3335" w:type="dxa"/>
            <w:tcBorders>
              <w:top w:val="single" w:sz="8" w:space="0" w:color="000000"/>
            </w:tcBorders>
            <w:tcMar>
              <w:top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Net income/(loss)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80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60,911 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077"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31,913 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(25,121)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67,703  </w:t>
            </w:r>
          </w:p>
        </w:tc>
      </w:tr>
      <w:tr>
        <w:trPr/>
        <w:tc>
          <w:tcPr>
            <w:tcW w:w="333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Add/(deduct):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lineRule="auto" w:line="240" w:before="0" w:after="0"/>
              <w:ind w:left="0" w:right="0" w:hanging="0"/>
              <w:jc w:val="left"/>
              <w:rPr/>
            </w:pPr>
            <w:r>
              <w:rPr/>
              <w:t> </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Interest expense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54 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185 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1,550 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1,789  </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Income taxes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19,290 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9,719 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(5,383)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23,626  </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Depreciation</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5,781 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8,474 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12 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14,267  </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Amortization</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0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27 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77"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2,692 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2"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2,719  </w:t>
            </w:r>
          </w:p>
        </w:tc>
      </w:tr>
      <w:tr>
        <w:trPr/>
        <w:tc>
          <w:tcPr>
            <w:tcW w:w="3335" w:type="dxa"/>
            <w:tcBorders/>
            <w:vAlign w:val="bottom"/>
          </w:tcPr>
          <w:p>
            <w:pPr>
              <w:pStyle w:val="TableContents"/>
              <w:bidi w:val="0"/>
              <w:spacing w:lineRule="auto" w:line="240" w:before="0" w:after="0"/>
              <w:ind w:left="720" w:right="0" w:hanging="0"/>
              <w:jc w:val="left"/>
              <w:rPr>
                <w:rFonts w:ascii="Times New Roman" w:hAnsi="Times New Roman"/>
                <w:color w:val="000000"/>
                <w:sz w:val="22"/>
              </w:rPr>
            </w:pPr>
            <w:r>
              <w:rPr>
                <w:rFonts w:ascii="Times New Roman" w:hAnsi="Times New Roman"/>
                <w:color w:val="000000"/>
                <w:sz w:val="22"/>
              </w:rPr>
              <w:t>EBITDA</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0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86,063 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77"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52,983 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(28,942)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110,104  </w:t>
            </w:r>
          </w:p>
        </w:tc>
      </w:tr>
      <w:tr>
        <w:trPr/>
        <w:tc>
          <w:tcPr>
            <w:tcW w:w="333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Add/(deduct):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lineRule="auto" w:line="240" w:before="0" w:after="0"/>
              <w:ind w:left="0" w:right="0" w:hanging="0"/>
              <w:jc w:val="left"/>
              <w:rPr/>
            </w:pPr>
            <w:r>
              <w:rPr/>
              <w:t> </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Intercompany interest expense/(income)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(6,480)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(4,575)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11,055 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Interest income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(66)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(10)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(138)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(214) </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Stock option expense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9,052 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9,052  </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Long-term incentive compensation</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2,248 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2,248  </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Legal settlements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548 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548  </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Acquisition expense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0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77"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60 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2"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68  </w:t>
            </w:r>
          </w:p>
        </w:tc>
      </w:tr>
      <w:tr>
        <w:trPr/>
        <w:tc>
          <w:tcPr>
            <w:tcW w:w="3335" w:type="dxa"/>
            <w:tcBorders/>
            <w:vAlign w:val="bottom"/>
          </w:tcPr>
          <w:p>
            <w:pPr>
              <w:pStyle w:val="TableContents"/>
              <w:bidi w:val="0"/>
              <w:spacing w:lineRule="auto" w:line="240" w:before="0" w:after="0"/>
              <w:ind w:left="720" w:right="0" w:hanging="0"/>
              <w:jc w:val="left"/>
              <w:rPr>
                <w:rFonts w:ascii="Times New Roman" w:hAnsi="Times New Roman"/>
                <w:color w:val="000000"/>
                <w:sz w:val="22"/>
              </w:rPr>
            </w:pPr>
            <w:r>
              <w:rPr>
                <w:rFonts w:ascii="Times New Roman" w:hAnsi="Times New Roman"/>
                <w:color w:val="000000"/>
                <w:sz w:val="22"/>
              </w:rPr>
              <w:t>Adjusted EBITDA</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800"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80,073 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077"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48,458 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1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(6,725)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140"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121,806  </w:t>
            </w:r>
          </w:p>
        </w:tc>
      </w:tr>
      <w:tr>
        <w:trPr/>
        <w:tc>
          <w:tcPr>
            <w:tcW w:w="3335" w:type="dxa"/>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0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77"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333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2025</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lineRule="auto" w:line="240" w:before="0" w:after="0"/>
              <w:ind w:left="0" w:right="0" w:hanging="0"/>
              <w:jc w:val="left"/>
              <w:rPr/>
            </w:pPr>
            <w:r>
              <w:rPr/>
              <w:t> </w:t>
            </w:r>
          </w:p>
        </w:tc>
      </w:tr>
      <w:tr>
        <w:trPr/>
        <w:tc>
          <w:tcPr>
            <w:tcW w:w="3335" w:type="dxa"/>
            <w:tcBorders>
              <w:top w:val="single" w:sz="8" w:space="0" w:color="000000"/>
            </w:tcBorders>
            <w:tcMar>
              <w:top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Net income/(loss)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80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38,219 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077"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31,914 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(17,640)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52,493  </w:t>
            </w:r>
          </w:p>
        </w:tc>
      </w:tr>
      <w:tr>
        <w:trPr/>
        <w:tc>
          <w:tcPr>
            <w:tcW w:w="333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Add/(deduct):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lineRule="auto" w:line="240" w:before="0" w:after="0"/>
              <w:ind w:left="0" w:right="0" w:hanging="0"/>
              <w:jc w:val="left"/>
              <w:rPr/>
            </w:pPr>
            <w:r>
              <w:rPr/>
              <w:t> </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Interest expense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47 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129 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267 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443  </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Income taxes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12,326 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9,671 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(3,375)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18,622  </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Depreciation</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5,314 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8,363 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12 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13,689  </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Amortization</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0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26 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77"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2,545 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2"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2,571  </w:t>
            </w:r>
          </w:p>
        </w:tc>
      </w:tr>
      <w:tr>
        <w:trPr/>
        <w:tc>
          <w:tcPr>
            <w:tcW w:w="3335" w:type="dxa"/>
            <w:tcBorders/>
            <w:vAlign w:val="bottom"/>
          </w:tcPr>
          <w:p>
            <w:pPr>
              <w:pStyle w:val="TableContents"/>
              <w:bidi w:val="0"/>
              <w:spacing w:lineRule="auto" w:line="240" w:before="0" w:after="0"/>
              <w:ind w:left="720" w:right="0" w:hanging="0"/>
              <w:jc w:val="left"/>
              <w:rPr>
                <w:rFonts w:ascii="Times New Roman" w:hAnsi="Times New Roman"/>
                <w:color w:val="000000"/>
                <w:sz w:val="22"/>
              </w:rPr>
            </w:pPr>
            <w:r>
              <w:rPr>
                <w:rFonts w:ascii="Times New Roman" w:hAnsi="Times New Roman"/>
                <w:color w:val="000000"/>
                <w:sz w:val="22"/>
              </w:rPr>
              <w:t>EBITDA</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0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55,932 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77"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52,622 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(20,736)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87,818  </w:t>
            </w:r>
          </w:p>
        </w:tc>
      </w:tr>
      <w:tr>
        <w:trPr/>
        <w:tc>
          <w:tcPr>
            <w:tcW w:w="333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Add/(deduct):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lineRule="auto" w:line="240" w:before="0" w:after="0"/>
              <w:ind w:left="0" w:right="0" w:hanging="0"/>
              <w:jc w:val="left"/>
              <w:rPr/>
            </w:pPr>
            <w:r>
              <w:rPr/>
              <w:t> </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Intercompany interest expense/(income)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(5,454)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(3,970)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9,424 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Interest income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(61)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(23)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(2,472)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(2,556) </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Stock option expense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9,216 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9,216  </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Long-term incentive compensation</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00"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77"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853 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853  </w:t>
            </w:r>
          </w:p>
        </w:tc>
      </w:tr>
      <w:tr>
        <w:trPr/>
        <w:tc>
          <w:tcPr>
            <w:tcW w:w="3335" w:type="dxa"/>
            <w:tcBorders/>
            <w:vAlign w:val="bottom"/>
          </w:tcPr>
          <w:p>
            <w:pPr>
              <w:pStyle w:val="TableContents"/>
              <w:bidi w:val="0"/>
              <w:spacing w:lineRule="auto" w:line="240" w:before="0" w:after="0"/>
              <w:ind w:left="720" w:right="0" w:hanging="0"/>
              <w:jc w:val="left"/>
              <w:rPr>
                <w:rFonts w:ascii="Times New Roman" w:hAnsi="Times New Roman"/>
                <w:color w:val="000000"/>
                <w:sz w:val="22"/>
              </w:rPr>
            </w:pPr>
            <w:r>
              <w:rPr>
                <w:rFonts w:ascii="Times New Roman" w:hAnsi="Times New Roman"/>
                <w:color w:val="000000"/>
                <w:sz w:val="22"/>
              </w:rPr>
              <w:t>Adjusted EBITDA</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800"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50,417 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077"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48,629 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1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(3,715)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140"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95,331  </w:t>
            </w:r>
          </w:p>
        </w:tc>
      </w:tr>
      <w:tr>
        <w:trPr/>
        <w:tc>
          <w:tcPr>
            <w:tcW w:w="3335" w:type="dxa"/>
            <w:tcBorders/>
            <w:vAlign w:val="bottom"/>
          </w:tcPr>
          <w:p>
            <w:pPr>
              <w:pStyle w:val="TableContents"/>
              <w:bidi w:val="0"/>
              <w:spacing w:lineRule="auto" w:line="240" w:before="0" w:after="0"/>
              <w:ind w:left="720" w:right="0" w:hanging="0"/>
              <w:jc w:val="left"/>
              <w:rPr>
                <w:rFonts w:cs="Times New Roman"/>
                <w:color w:val="000000"/>
                <w:szCs w:val="22"/>
              </w:rPr>
            </w:pPr>
            <w:r>
              <w:rPr>
                <w:rFonts w:cs="Times New Roman"/>
                <w:color w:val="000000"/>
                <w:szCs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0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77"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8145" w:type="dxa"/>
            <w:gridSpan w:val="13"/>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The "Footnotes to Financial Statements" are integral parts of this financial information.</w:t>
            </w:r>
          </w:p>
        </w:tc>
      </w:tr>
    </w:tbl>
    <w:p>
      <w:pPr>
        <w:pStyle w:val="TextBody"/>
        <w:bidi w:val="0"/>
        <w:spacing w:lineRule="auto" w:line="256" w:before="0" w:after="0"/>
        <w:ind w:left="720" w:right="1340" w:hanging="0"/>
        <w:jc w:val="left"/>
        <w:rPr>
          <w:rFonts w:cs="Times New Roman"/>
          <w:szCs w:val="2"/>
        </w:rPr>
      </w:pPr>
      <w:r>
        <w:rPr>
          <w:rFonts w:cs="Times New Roman"/>
          <w:szCs w:val="2"/>
        </w:rPr>
        <w:t xml:space="preserve">﻿ </w:t>
      </w:r>
    </w:p>
    <w:p>
      <w:pPr>
        <w:pStyle w:val="TextBody"/>
        <w:bidi w:val="0"/>
        <w:spacing w:lineRule="auto" w:line="256" w:before="0" w:after="0"/>
        <w:ind w:left="720" w:right="1340" w:hanging="0"/>
        <w:jc w:val="left"/>
        <w:rPr>
          <w:rFonts w:cs="Times New Roman"/>
          <w:szCs w:val="2"/>
        </w:rPr>
      </w:pPr>
      <w:r>
        <w:rPr>
          <w:rFonts w:cs="Times New Roman"/>
          <w:szCs w:val="2"/>
        </w:rPr>
        <w:t xml:space="preserve">﻿ </w:t>
      </w:r>
    </w:p>
    <w:p>
      <w:pPr>
        <w:pStyle w:val="TextBody"/>
        <w:bidi w:val="0"/>
        <w:spacing w:lineRule="auto" w:line="256" w:before="0" w:after="0"/>
        <w:ind w:left="720" w:right="1340" w:hanging="0"/>
        <w:jc w:val="left"/>
        <w:rPr>
          <w:rFonts w:cs="Times New Roman"/>
          <w:szCs w:val="2"/>
        </w:rPr>
      </w:pPr>
      <w:r>
        <w:rPr>
          <w:rFonts w:cs="Times New Roman"/>
          <w:szCs w:val="2"/>
        </w:rPr>
        <w:t xml:space="preserve">﻿ </w:t>
      </w:r>
    </w:p>
    <w:p>
      <w:pPr>
        <w:pStyle w:val="TextBody"/>
        <w:bidi w:val="0"/>
        <w:spacing w:lineRule="auto" w:line="256" w:before="0" w:after="0"/>
        <w:ind w:left="720" w:right="1340" w:hanging="0"/>
        <w:jc w:val="left"/>
        <w:rPr>
          <w:rFonts w:cs="Times New Roman"/>
          <w:szCs w:val="2"/>
        </w:rPr>
      </w:pPr>
      <w:r>
        <w:rPr>
          <w:rFonts w:cs="Times New Roman"/>
          <w:szCs w:val="2"/>
        </w:rPr>
        <w:t xml:space="preserve">﻿ </w:t>
      </w:r>
    </w:p>
    <w:p>
      <w:pPr>
        <w:pStyle w:val="TextBody"/>
        <w:bidi w:val="0"/>
        <w:spacing w:lineRule="auto" w:line="256" w:before="0" w:after="0"/>
        <w:ind w:left="720" w:right="1340" w:hanging="0"/>
        <w:jc w:val="left"/>
        <w:rPr>
          <w:rFonts w:cs="Times New Roman"/>
          <w:szCs w:val="2"/>
        </w:rPr>
      </w:pPr>
      <w:r>
        <w:rPr>
          <w:rFonts w:cs="Times New Roman"/>
          <w:szCs w:val="2"/>
        </w:rPr>
        <w:t xml:space="preserve">﻿ </w:t>
      </w:r>
    </w:p>
    <w:p>
      <w:pPr>
        <w:pStyle w:val="TextBody"/>
        <w:bidi w:val="0"/>
        <w:spacing w:lineRule="auto" w:line="256" w:before="0" w:after="0"/>
        <w:ind w:left="720" w:right="1340" w:hanging="0"/>
        <w:jc w:val="left"/>
        <w:rPr>
          <w:rFonts w:cs="Times New Roman"/>
          <w:szCs w:val="2"/>
        </w:rPr>
      </w:pPr>
      <w:r>
        <w:rPr>
          <w:rFonts w:cs="Times New Roman"/>
          <w:szCs w:val="2"/>
        </w:rPr>
        <w:t xml:space="preserve">﻿ </w:t>
      </w:r>
    </w:p>
    <w:p>
      <w:pPr>
        <w:pStyle w:val="HorizontalLine"/>
        <w:pBdr>
          <w:bottom w:val="double" w:sz="6" w:space="0" w:color="808080"/>
        </w:pBdr>
        <w:bidi w:val="0"/>
        <w:ind w:left="720" w:right="1340" w:hanging="0"/>
        <w:jc w:val="left"/>
        <w:rPr/>
      </w:pPr>
      <w:r>
        <w:rPr/>
      </w:r>
    </w:p>
    <w:p>
      <w:pPr>
        <w:pStyle w:val="TextBody"/>
        <w:bidi w:val="0"/>
        <w:ind w:left="720" w:right="1340" w:hanging="0"/>
        <w:jc w:val="left"/>
        <w:rPr/>
      </w:pPr>
      <w:r>
        <w:rPr/>
        <w:t> </w:t>
      </w:r>
      <w:r>
        <w:br w:type="page"/>
      </w:r>
    </w:p>
    <w:p>
      <w:pPr>
        <w:pStyle w:val="TextBody"/>
        <w:bidi w:val="0"/>
        <w:spacing w:lineRule="auto" w:line="256" w:before="0" w:after="160"/>
        <w:ind w:left="720" w:right="1340" w:hanging="0"/>
        <w:jc w:val="left"/>
        <w:rPr>
          <w:rFonts w:cs="Times New Roman"/>
          <w:szCs w:val="2"/>
        </w:rPr>
      </w:pPr>
      <w:r>
        <w:rPr>
          <w:rFonts w:cs="Times New Roman"/>
          <w:szCs w:val="2"/>
        </w:rPr>
        <w:t xml:space="preserve">﻿ </w:t>
      </w:r>
    </w:p>
    <w:tbl>
      <w:tblPr>
        <w:tblW w:w="8145" w:type="dxa"/>
        <w:jc w:val="left"/>
        <w:tblInd w:w="720" w:type="dxa"/>
        <w:tblLayout w:type="fixed"/>
        <w:tblCellMar>
          <w:top w:w="0" w:type="dxa"/>
          <w:left w:w="0" w:type="dxa"/>
          <w:bottom w:w="0" w:type="dxa"/>
          <w:right w:w="0" w:type="dxa"/>
        </w:tblCellMar>
      </w:tblPr>
      <w:tblGrid>
        <w:gridCol w:w="3215"/>
        <w:gridCol w:w="60"/>
        <w:gridCol w:w="140"/>
        <w:gridCol w:w="920"/>
        <w:gridCol w:w="60"/>
        <w:gridCol w:w="167"/>
        <w:gridCol w:w="1098"/>
        <w:gridCol w:w="60"/>
        <w:gridCol w:w="143"/>
        <w:gridCol w:w="912"/>
        <w:gridCol w:w="60"/>
        <w:gridCol w:w="170"/>
        <w:gridCol w:w="1140"/>
      </w:tblGrid>
      <w:tr>
        <w:trPr/>
        <w:tc>
          <w:tcPr>
            <w:tcW w:w="3215"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lineRule="auto" w:line="240" w:before="0" w:after="0"/>
              <w:ind w:left="0" w:right="0" w:hanging="0"/>
              <w:jc w:val="left"/>
              <w:rPr/>
            </w:pPr>
            <w:r>
              <w:rPr/>
              <w:t> </w:t>
            </w:r>
          </w:p>
        </w:tc>
      </w:tr>
      <w:tr>
        <w:trPr/>
        <w:tc>
          <w:tcPr>
            <w:tcW w:w="8145" w:type="dxa"/>
            <w:gridSpan w:val="13"/>
            <w:tcBorders/>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CHEMED CORPORATION AND SUBSIDIARY COMPANIES</w:t>
            </w:r>
          </w:p>
        </w:tc>
      </w:tr>
      <w:tr>
        <w:trPr/>
        <w:tc>
          <w:tcPr>
            <w:tcW w:w="8145" w:type="dxa"/>
            <w:gridSpan w:val="13"/>
            <w:tcBorders/>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CONSOLIDATING SUMMARIES OF EBITDA</w:t>
            </w:r>
          </w:p>
        </w:tc>
      </w:tr>
      <w:tr>
        <w:trPr/>
        <w:tc>
          <w:tcPr>
            <w:tcW w:w="8145" w:type="dxa"/>
            <w:gridSpan w:val="13"/>
            <w:tcBorders/>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FOR THE SIX MONTHS ENDED JUNE 30, 2026 AND 2025</w:t>
            </w:r>
          </w:p>
        </w:tc>
      </w:tr>
      <w:tr>
        <w:trPr/>
        <w:tc>
          <w:tcPr>
            <w:tcW w:w="8145" w:type="dxa"/>
            <w:gridSpan w:val="13"/>
            <w:tcBorders/>
            <w:vAlign w:val="bottom"/>
          </w:tcPr>
          <w:p>
            <w:pPr>
              <w:pStyle w:val="TableContents"/>
              <w:bidi w:val="0"/>
              <w:spacing w:lineRule="auto" w:line="240" w:before="0" w:after="0"/>
              <w:ind w:left="0" w:right="0" w:hanging="0"/>
              <w:jc w:val="center"/>
              <w:rPr>
                <w:rFonts w:ascii="Times New Roman" w:hAnsi="Times New Roman"/>
                <w:color w:val="000000"/>
                <w:sz w:val="22"/>
              </w:rPr>
            </w:pPr>
            <w:r>
              <w:rPr>
                <w:rFonts w:ascii="Times New Roman" w:hAnsi="Times New Roman"/>
                <w:color w:val="000000"/>
                <w:sz w:val="22"/>
              </w:rPr>
              <w:t>(in thousands)(unaudited)</w:t>
            </w:r>
          </w:p>
        </w:tc>
      </w:tr>
      <w:tr>
        <w:trPr/>
        <w:tc>
          <w:tcPr>
            <w:tcW w:w="3215" w:type="dxa"/>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310" w:type="dxa"/>
            <w:gridSpan w:val="2"/>
            <w:tcBorders/>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Chemed</w:t>
            </w:r>
          </w:p>
        </w:tc>
      </w:tr>
      <w:tr>
        <w:trPr/>
        <w:tc>
          <w:tcPr>
            <w:tcW w:w="3215" w:type="dxa"/>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060"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VITAS</w:t>
            </w:r>
          </w:p>
        </w:tc>
        <w:tc>
          <w:tcPr>
            <w:tcW w:w="60" w:type="dxa"/>
            <w:tcBorders/>
            <w:vAlign w:val="bottom"/>
          </w:tcPr>
          <w:p>
            <w:pPr>
              <w:pStyle w:val="TableContents"/>
              <w:bidi w:val="0"/>
              <w:spacing w:lineRule="auto" w:line="240" w:before="0" w:after="0"/>
              <w:ind w:left="0" w:right="0" w:hanging="0"/>
              <w:jc w:val="left"/>
              <w:rPr/>
            </w:pPr>
            <w:r>
              <w:rPr/>
              <w:t> </w:t>
            </w:r>
          </w:p>
        </w:tc>
        <w:tc>
          <w:tcPr>
            <w:tcW w:w="1265"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Roto-Rooter</w:t>
            </w:r>
          </w:p>
        </w:tc>
        <w:tc>
          <w:tcPr>
            <w:tcW w:w="60" w:type="dxa"/>
            <w:tcBorders/>
            <w:vAlign w:val="bottom"/>
          </w:tcPr>
          <w:p>
            <w:pPr>
              <w:pStyle w:val="TableContents"/>
              <w:bidi w:val="0"/>
              <w:spacing w:lineRule="auto" w:line="240" w:before="0" w:after="0"/>
              <w:ind w:left="0" w:right="0" w:hanging="0"/>
              <w:jc w:val="left"/>
              <w:rPr/>
            </w:pPr>
            <w:r>
              <w:rPr/>
              <w:t> </w:t>
            </w:r>
          </w:p>
        </w:tc>
        <w:tc>
          <w:tcPr>
            <w:tcW w:w="1055"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Corporate</w:t>
            </w:r>
          </w:p>
        </w:tc>
        <w:tc>
          <w:tcPr>
            <w:tcW w:w="60" w:type="dxa"/>
            <w:tcBorders/>
            <w:vAlign w:val="bottom"/>
          </w:tcPr>
          <w:p>
            <w:pPr>
              <w:pStyle w:val="TableContents"/>
              <w:bidi w:val="0"/>
              <w:spacing w:lineRule="auto" w:line="240" w:before="0" w:after="0"/>
              <w:ind w:left="0" w:right="0" w:hanging="0"/>
              <w:jc w:val="left"/>
              <w:rPr/>
            </w:pPr>
            <w:r>
              <w:rPr/>
              <w:t> </w:t>
            </w:r>
          </w:p>
        </w:tc>
        <w:tc>
          <w:tcPr>
            <w:tcW w:w="1310"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Consolidated</w:t>
            </w:r>
          </w:p>
        </w:tc>
      </w:tr>
      <w:tr>
        <w:trPr/>
        <w:tc>
          <w:tcPr>
            <w:tcW w:w="321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b/>
                <w:color w:val="000000"/>
                <w:sz w:val="22"/>
              </w:rPr>
            </w:pPr>
            <w:r>
              <w:rPr>
                <w:rFonts w:ascii="Times New Roman" w:hAnsi="Times New Roman"/>
                <w:b/>
                <w:color w:val="000000"/>
                <w:sz w:val="22"/>
              </w:rPr>
              <w:t>2026</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8"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3215" w:type="dxa"/>
            <w:tcBorders>
              <w:top w:val="single" w:sz="8" w:space="0" w:color="000000"/>
            </w:tcBorders>
            <w:tcMar>
              <w:top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Net income/(loss)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113,118 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67,697 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(46,810)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134,005 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Add/(deduct):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lineRule="auto" w:line="240" w:before="0" w:after="0"/>
              <w:ind w:left="0" w:right="0" w:hanging="0"/>
              <w:jc w:val="left"/>
              <w:rPr/>
            </w:pPr>
            <w:r>
              <w:rPr/>
              <w:t> </w:t>
            </w:r>
          </w:p>
        </w:tc>
      </w:tr>
      <w:tr>
        <w:trPr/>
        <w:tc>
          <w:tcPr>
            <w:tcW w:w="321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Interest expense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104 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321 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1,876 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2,301  </w:t>
            </w:r>
          </w:p>
        </w:tc>
      </w:tr>
      <w:tr>
        <w:trPr/>
        <w:tc>
          <w:tcPr>
            <w:tcW w:w="321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Income taxes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35,818 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20,747 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(10,401)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46,164  </w:t>
            </w:r>
          </w:p>
        </w:tc>
      </w:tr>
      <w:tr>
        <w:trPr/>
        <w:tc>
          <w:tcPr>
            <w:tcW w:w="321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Depreciation</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11,693 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16,853 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24 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28,570  </w:t>
            </w:r>
          </w:p>
        </w:tc>
      </w:tr>
      <w:tr>
        <w:trPr/>
        <w:tc>
          <w:tcPr>
            <w:tcW w:w="321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Amortization</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53 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98"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5,236 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2"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5,289  </w:t>
            </w:r>
          </w:p>
        </w:tc>
      </w:tr>
      <w:tr>
        <w:trPr/>
        <w:tc>
          <w:tcPr>
            <w:tcW w:w="3215" w:type="dxa"/>
            <w:tcBorders/>
            <w:vAlign w:val="bottom"/>
          </w:tcPr>
          <w:p>
            <w:pPr>
              <w:pStyle w:val="TableContents"/>
              <w:bidi w:val="0"/>
              <w:spacing w:lineRule="auto" w:line="240" w:before="0" w:after="0"/>
              <w:ind w:left="720" w:right="0" w:hanging="0"/>
              <w:jc w:val="left"/>
              <w:rPr>
                <w:rFonts w:ascii="Times New Roman" w:hAnsi="Times New Roman"/>
                <w:color w:val="000000"/>
                <w:sz w:val="22"/>
              </w:rPr>
            </w:pPr>
            <w:r>
              <w:rPr>
                <w:rFonts w:ascii="Times New Roman" w:hAnsi="Times New Roman"/>
                <w:color w:val="000000"/>
                <w:sz w:val="22"/>
              </w:rPr>
              <w:t>EBITDA</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160,786 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8"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110,854 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(55,311)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216,329 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Add/(deduct):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lineRule="auto" w:line="240" w:before="0" w:after="0"/>
              <w:ind w:left="0" w:right="0" w:hanging="0"/>
              <w:jc w:val="left"/>
              <w:rPr/>
            </w:pPr>
            <w:r>
              <w:rPr/>
              <w:t> </w:t>
            </w:r>
          </w:p>
        </w:tc>
      </w:tr>
      <w:tr>
        <w:trPr/>
        <w:tc>
          <w:tcPr>
            <w:tcW w:w="321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Intercompany interest expense/(income)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(12,717)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(9,088)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21,805 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r>
      <w:tr>
        <w:trPr/>
        <w:tc>
          <w:tcPr>
            <w:tcW w:w="321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Interest income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(162)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(25)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(917)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(1,104) </w:t>
            </w:r>
          </w:p>
        </w:tc>
      </w:tr>
      <w:tr>
        <w:trPr/>
        <w:tc>
          <w:tcPr>
            <w:tcW w:w="321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Stock option expense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18,302 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18,302  </w:t>
            </w:r>
          </w:p>
        </w:tc>
      </w:tr>
      <w:tr>
        <w:trPr/>
        <w:tc>
          <w:tcPr>
            <w:tcW w:w="321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Long-term incentive compensation</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3,753 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3,753  </w:t>
            </w:r>
          </w:p>
        </w:tc>
      </w:tr>
      <w:tr>
        <w:trPr/>
        <w:tc>
          <w:tcPr>
            <w:tcW w:w="321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Legal settlements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548 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548  </w:t>
            </w:r>
          </w:p>
        </w:tc>
      </w:tr>
      <w:tr>
        <w:trPr/>
        <w:tc>
          <w:tcPr>
            <w:tcW w:w="321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Acquisition expense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98"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226 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2"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234  </w:t>
            </w:r>
          </w:p>
        </w:tc>
      </w:tr>
      <w:tr>
        <w:trPr/>
        <w:tc>
          <w:tcPr>
            <w:tcW w:w="3215" w:type="dxa"/>
            <w:tcBorders/>
            <w:vAlign w:val="bottom"/>
          </w:tcPr>
          <w:p>
            <w:pPr>
              <w:pStyle w:val="TableContents"/>
              <w:bidi w:val="0"/>
              <w:spacing w:lineRule="auto" w:line="240" w:before="0" w:after="0"/>
              <w:ind w:left="720" w:right="0" w:hanging="0"/>
              <w:jc w:val="left"/>
              <w:rPr>
                <w:rFonts w:ascii="Times New Roman" w:hAnsi="Times New Roman"/>
                <w:color w:val="000000"/>
                <w:sz w:val="22"/>
              </w:rPr>
            </w:pPr>
            <w:r>
              <w:rPr>
                <w:rFonts w:ascii="Times New Roman" w:hAnsi="Times New Roman"/>
                <w:color w:val="000000"/>
                <w:sz w:val="22"/>
              </w:rPr>
              <w:t>Adjusted EBITDA</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20"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148,463 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098"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101,967 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1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(12,368)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140"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238,062  </w:t>
            </w:r>
          </w:p>
        </w:tc>
      </w:tr>
      <w:tr>
        <w:trPr/>
        <w:tc>
          <w:tcPr>
            <w:tcW w:w="321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2025</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8"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3215" w:type="dxa"/>
            <w:tcBorders>
              <w:top w:val="single" w:sz="8" w:space="0" w:color="000000"/>
            </w:tcBorders>
            <w:tcMar>
              <w:top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Net income/(loss)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88,249 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71,858 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(35,857)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124,250 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Add/(deduct):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lineRule="auto" w:line="240" w:before="0" w:after="0"/>
              <w:ind w:left="0" w:right="0" w:hanging="0"/>
              <w:jc w:val="left"/>
              <w:rPr/>
            </w:pPr>
            <w:r>
              <w:rPr/>
              <w:t> </w:t>
            </w:r>
          </w:p>
        </w:tc>
      </w:tr>
      <w:tr>
        <w:trPr/>
        <w:tc>
          <w:tcPr>
            <w:tcW w:w="321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Interest expense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95 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261 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416 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772  </w:t>
            </w:r>
          </w:p>
        </w:tc>
      </w:tr>
      <w:tr>
        <w:trPr/>
        <w:tc>
          <w:tcPr>
            <w:tcW w:w="321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Income taxes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30,361 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21,936 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(9,758)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42,539  </w:t>
            </w:r>
          </w:p>
        </w:tc>
      </w:tr>
      <w:tr>
        <w:trPr/>
        <w:tc>
          <w:tcPr>
            <w:tcW w:w="321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Depreciation</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10,509 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16,601 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24 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27,134  </w:t>
            </w:r>
          </w:p>
        </w:tc>
      </w:tr>
      <w:tr>
        <w:trPr/>
        <w:tc>
          <w:tcPr>
            <w:tcW w:w="321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Amortization</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52 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98"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5,091 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2"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5,143  </w:t>
            </w:r>
          </w:p>
        </w:tc>
      </w:tr>
      <w:tr>
        <w:trPr/>
        <w:tc>
          <w:tcPr>
            <w:tcW w:w="3215" w:type="dxa"/>
            <w:tcBorders/>
            <w:vAlign w:val="bottom"/>
          </w:tcPr>
          <w:p>
            <w:pPr>
              <w:pStyle w:val="TableContents"/>
              <w:bidi w:val="0"/>
              <w:spacing w:lineRule="auto" w:line="240" w:before="0" w:after="0"/>
              <w:ind w:left="720" w:right="0" w:hanging="0"/>
              <w:jc w:val="left"/>
              <w:rPr>
                <w:rFonts w:ascii="Times New Roman" w:hAnsi="Times New Roman"/>
                <w:color w:val="000000"/>
                <w:sz w:val="22"/>
              </w:rPr>
            </w:pPr>
            <w:r>
              <w:rPr>
                <w:rFonts w:ascii="Times New Roman" w:hAnsi="Times New Roman"/>
                <w:color w:val="000000"/>
                <w:sz w:val="22"/>
              </w:rPr>
              <w:t>EBITDA</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129,266 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8"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115,747 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(45,175)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199,838 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Add/(deduct):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lineRule="auto" w:line="240" w:before="0" w:after="0"/>
              <w:ind w:left="0" w:right="0" w:hanging="0"/>
              <w:jc w:val="left"/>
              <w:rPr/>
            </w:pPr>
            <w:r>
              <w:rPr/>
              <w:t> </w:t>
            </w:r>
          </w:p>
        </w:tc>
      </w:tr>
      <w:tr>
        <w:trPr/>
        <w:tc>
          <w:tcPr>
            <w:tcW w:w="321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Intercompany interest expense/(income)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(10,750)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(7,900)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18,650 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r>
      <w:tr>
        <w:trPr/>
        <w:tc>
          <w:tcPr>
            <w:tcW w:w="321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Interest income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(110)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(33)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(4,489)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(4,632) </w:t>
            </w:r>
          </w:p>
        </w:tc>
      </w:tr>
      <w:tr>
        <w:trPr/>
        <w:tc>
          <w:tcPr>
            <w:tcW w:w="321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Stock option expense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18,307 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18,307  </w:t>
            </w:r>
          </w:p>
        </w:tc>
      </w:tr>
      <w:tr>
        <w:trPr/>
        <w:tc>
          <w:tcPr>
            <w:tcW w:w="321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Long-term incentive compensation</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0"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98"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3,510 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3,510  </w:t>
            </w:r>
          </w:p>
        </w:tc>
      </w:tr>
      <w:tr>
        <w:trPr/>
        <w:tc>
          <w:tcPr>
            <w:tcW w:w="3215" w:type="dxa"/>
            <w:tcBorders/>
            <w:vAlign w:val="bottom"/>
          </w:tcPr>
          <w:p>
            <w:pPr>
              <w:pStyle w:val="TableContents"/>
              <w:bidi w:val="0"/>
              <w:spacing w:lineRule="auto" w:line="240" w:before="0" w:after="0"/>
              <w:ind w:left="720" w:right="0" w:hanging="0"/>
              <w:jc w:val="left"/>
              <w:rPr>
                <w:rFonts w:ascii="Times New Roman" w:hAnsi="Times New Roman"/>
                <w:color w:val="000000"/>
                <w:sz w:val="22"/>
              </w:rPr>
            </w:pPr>
            <w:r>
              <w:rPr>
                <w:rFonts w:ascii="Times New Roman" w:hAnsi="Times New Roman"/>
                <w:color w:val="000000"/>
                <w:sz w:val="22"/>
              </w:rPr>
              <w:t>Adjusted EBITDA</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20"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118,406 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098"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107,814 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1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(9,197)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140"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217,023  </w:t>
            </w:r>
          </w:p>
        </w:tc>
      </w:tr>
      <w:tr>
        <w:trPr/>
        <w:tc>
          <w:tcPr>
            <w:tcW w:w="3215" w:type="dxa"/>
            <w:tcBorders/>
            <w:vAlign w:val="bottom"/>
          </w:tcPr>
          <w:p>
            <w:pPr>
              <w:pStyle w:val="TableContents"/>
              <w:bidi w:val="0"/>
              <w:spacing w:lineRule="auto" w:line="240" w:before="0" w:after="0"/>
              <w:ind w:left="720" w:right="0" w:hanging="0"/>
              <w:jc w:val="left"/>
              <w:rPr>
                <w:rFonts w:cs="Times New Roman"/>
                <w:color w:val="000000"/>
                <w:szCs w:val="22"/>
              </w:rPr>
            </w:pPr>
            <w:r>
              <w:rPr>
                <w:rFonts w:cs="Times New Roman"/>
                <w:color w:val="000000"/>
                <w:szCs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8"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8145" w:type="dxa"/>
            <w:gridSpan w:val="13"/>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The "Footnotes to Financial Statements" are integral parts of this financial information.</w:t>
            </w:r>
          </w:p>
        </w:tc>
      </w:tr>
      <w:tr>
        <w:trPr/>
        <w:tc>
          <w:tcPr>
            <w:tcW w:w="8145" w:type="dxa"/>
            <w:gridSpan w:val="13"/>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tc>
      </w:tr>
      <w:tr>
        <w:trPr/>
        <w:tc>
          <w:tcPr>
            <w:tcW w:w="8145" w:type="dxa"/>
            <w:gridSpan w:val="13"/>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tc>
      </w:tr>
      <w:tr>
        <w:trPr/>
        <w:tc>
          <w:tcPr>
            <w:tcW w:w="8145" w:type="dxa"/>
            <w:gridSpan w:val="13"/>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tc>
      </w:tr>
      <w:tr>
        <w:trPr/>
        <w:tc>
          <w:tcPr>
            <w:tcW w:w="8145" w:type="dxa"/>
            <w:gridSpan w:val="13"/>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p>
            <w:pPr>
              <w:pStyle w:val="TableContents"/>
              <w:bidi w:val="0"/>
              <w:spacing w:lineRule="auto" w:line="240" w:before="0" w:after="0"/>
              <w:ind w:left="0" w:right="0" w:hanging="0"/>
              <w:jc w:val="left"/>
              <w:rPr/>
            </w:pPr>
            <w:r>
              <w:rPr/>
              <w:t> </w:t>
            </w:r>
          </w:p>
          <w:p>
            <w:pPr>
              <w:pStyle w:val="TableContents"/>
              <w:bidi w:val="0"/>
              <w:spacing w:lineRule="auto" w:line="240" w:before="0" w:after="0"/>
              <w:ind w:left="0" w:right="0" w:hanging="0"/>
              <w:jc w:val="left"/>
              <w:rPr/>
            </w:pPr>
            <w:r>
              <w:rPr/>
              <w:t> </w:t>
            </w:r>
          </w:p>
        </w:tc>
      </w:tr>
      <w:tr>
        <w:trPr/>
        <w:tc>
          <w:tcPr>
            <w:tcW w:w="8145" w:type="dxa"/>
            <w:gridSpan w:val="13"/>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p>
            <w:pPr>
              <w:pStyle w:val="TableContents"/>
              <w:bidi w:val="0"/>
              <w:spacing w:lineRule="auto" w:line="240" w:before="0" w:after="0"/>
              <w:ind w:left="0" w:right="0" w:hanging="0"/>
              <w:jc w:val="left"/>
              <w:rPr/>
            </w:pPr>
            <w:r>
              <w:rPr/>
              <w:t> </w:t>
            </w:r>
          </w:p>
          <w:p>
            <w:pPr>
              <w:pStyle w:val="TableContents"/>
              <w:bidi w:val="0"/>
              <w:spacing w:lineRule="auto" w:line="240" w:before="0" w:after="0"/>
              <w:ind w:left="0" w:right="0" w:hanging="0"/>
              <w:jc w:val="left"/>
              <w:rPr/>
            </w:pPr>
            <w:r>
              <w:rPr/>
              <w:t> </w:t>
            </w:r>
          </w:p>
          <w:p>
            <w:pPr>
              <w:pStyle w:val="TableContents"/>
              <w:bidi w:val="0"/>
              <w:spacing w:lineRule="auto" w:line="240" w:before="0" w:after="0"/>
              <w:ind w:left="0" w:right="0" w:hanging="0"/>
              <w:jc w:val="left"/>
              <w:rPr/>
            </w:pPr>
            <w:r>
              <w:rPr/>
              <w:t> </w:t>
            </w:r>
          </w:p>
          <w:p>
            <w:pPr>
              <w:pStyle w:val="TableContents"/>
              <w:bidi w:val="0"/>
              <w:spacing w:lineRule="auto" w:line="240" w:before="0" w:after="0"/>
              <w:ind w:left="0" w:right="0" w:hanging="0"/>
              <w:jc w:val="left"/>
              <w:rPr/>
            </w:pPr>
            <w:r>
              <w:rPr/>
              <w:t> </w:t>
            </w:r>
          </w:p>
        </w:tc>
      </w:tr>
    </w:tbl>
    <w:p>
      <w:pPr>
        <w:pStyle w:val="TextBody"/>
        <w:bidi w:val="0"/>
        <w:spacing w:lineRule="auto" w:line="256" w:before="0" w:after="160"/>
        <w:ind w:left="720" w:right="1340" w:hanging="0"/>
        <w:jc w:val="left"/>
        <w:rPr>
          <w:rFonts w:cs="Times New Roman"/>
          <w:szCs w:val="20"/>
        </w:rPr>
      </w:pPr>
      <w:r>
        <w:rPr>
          <w:rFonts w:cs="Times New Roman"/>
          <w:szCs w:val="20"/>
        </w:rPr>
        <w:t xml:space="preserve">﻿ </w:t>
      </w:r>
    </w:p>
    <w:p>
      <w:pPr>
        <w:pStyle w:val="TextBody"/>
        <w:bidi w:val="0"/>
        <w:spacing w:lineRule="auto" w:line="256" w:before="0" w:after="160"/>
        <w:ind w:left="720" w:right="1340" w:hanging="0"/>
        <w:jc w:val="left"/>
        <w:rPr>
          <w:rFonts w:cs="Times New Roman"/>
          <w:szCs w:val="20"/>
        </w:rPr>
      </w:pPr>
      <w:r>
        <w:rPr>
          <w:rFonts w:cs="Times New Roman"/>
          <w:szCs w:val="20"/>
        </w:rPr>
        <w:t xml:space="preserve">﻿ </w:t>
      </w:r>
    </w:p>
    <w:p>
      <w:pPr>
        <w:pStyle w:val="TextBody"/>
        <w:bidi w:val="0"/>
        <w:spacing w:lineRule="auto" w:line="256" w:before="0" w:after="160"/>
        <w:ind w:left="720" w:right="1340" w:hanging="0"/>
        <w:jc w:val="left"/>
        <w:rPr>
          <w:rFonts w:cs="Times New Roman"/>
          <w:szCs w:val="20"/>
        </w:rPr>
      </w:pPr>
      <w:r>
        <w:rPr>
          <w:rFonts w:cs="Times New Roman"/>
          <w:szCs w:val="20"/>
        </w:rPr>
        <w:t xml:space="preserve">﻿ </w:t>
      </w:r>
    </w:p>
    <w:tbl>
      <w:tblPr>
        <w:tblW w:w="773" w:type="dxa"/>
        <w:jc w:val="left"/>
        <w:tblInd w:w="720" w:type="dxa"/>
        <w:tblLayout w:type="fixed"/>
        <w:tblCellMar>
          <w:top w:w="0" w:type="dxa"/>
          <w:left w:w="0" w:type="dxa"/>
          <w:bottom w:w="0" w:type="dxa"/>
          <w:right w:w="0" w:type="dxa"/>
        </w:tblCellMar>
      </w:tblPr>
      <w:tblGrid>
        <w:gridCol w:w="38"/>
        <w:gridCol w:w="60"/>
        <w:gridCol w:w="60"/>
        <w:gridCol w:w="60"/>
        <w:gridCol w:w="60"/>
        <w:gridCol w:w="60"/>
        <w:gridCol w:w="60"/>
        <w:gridCol w:w="60"/>
        <w:gridCol w:w="60"/>
        <w:gridCol w:w="60"/>
        <w:gridCol w:w="60"/>
        <w:gridCol w:w="60"/>
        <w:gridCol w:w="75"/>
      </w:tblGrid>
      <w:tr>
        <w:trPr/>
        <w:tc>
          <w:tcPr>
            <w:tcW w:w="38"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bl>
    <w:p>
      <w:pPr>
        <w:pStyle w:val="HorizontalLine"/>
        <w:pBdr>
          <w:bottom w:val="double" w:sz="6" w:space="0" w:color="808080"/>
        </w:pBdr>
        <w:bidi w:val="0"/>
        <w:ind w:left="720" w:right="1340" w:hanging="0"/>
        <w:jc w:val="left"/>
        <w:rPr/>
      </w:pPr>
      <w:r>
        <w:rPr/>
      </w:r>
    </w:p>
    <w:p>
      <w:pPr>
        <w:pStyle w:val="TextBody"/>
        <w:bidi w:val="0"/>
        <w:ind w:left="720" w:right="1340" w:hanging="0"/>
        <w:jc w:val="left"/>
        <w:rPr/>
      </w:pPr>
      <w:r>
        <w:rPr/>
        <w:t> </w:t>
      </w:r>
      <w:r>
        <w:br w:type="page"/>
      </w:r>
    </w:p>
    <w:tbl>
      <w:tblPr>
        <w:tblW w:w="8145" w:type="dxa"/>
        <w:jc w:val="left"/>
        <w:tblInd w:w="720" w:type="dxa"/>
        <w:tblLayout w:type="fixed"/>
        <w:tblCellMar>
          <w:top w:w="0" w:type="dxa"/>
          <w:left w:w="0" w:type="dxa"/>
          <w:bottom w:w="0" w:type="dxa"/>
          <w:right w:w="0" w:type="dxa"/>
        </w:tblCellMar>
      </w:tblPr>
      <w:tblGrid>
        <w:gridCol w:w="2982"/>
        <w:gridCol w:w="65"/>
        <w:gridCol w:w="178"/>
        <w:gridCol w:w="1020"/>
        <w:gridCol w:w="76"/>
        <w:gridCol w:w="178"/>
        <w:gridCol w:w="1020"/>
        <w:gridCol w:w="65"/>
        <w:gridCol w:w="162"/>
        <w:gridCol w:w="1072"/>
        <w:gridCol w:w="69"/>
        <w:gridCol w:w="162"/>
        <w:gridCol w:w="1096"/>
      </w:tblGrid>
      <w:tr>
        <w:trPr/>
        <w:tc>
          <w:tcPr>
            <w:tcW w:w="8145" w:type="dxa"/>
            <w:gridSpan w:val="13"/>
            <w:tcBorders/>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CHEMED CORPORATION AND SUBSIDIARY COMPANIES</w:t>
            </w:r>
          </w:p>
        </w:tc>
      </w:tr>
      <w:tr>
        <w:trPr/>
        <w:tc>
          <w:tcPr>
            <w:tcW w:w="8145" w:type="dxa"/>
            <w:gridSpan w:val="13"/>
            <w:tcBorders/>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RECONCILIATION OF ADJUSTED NET INCOME</w:t>
            </w:r>
          </w:p>
        </w:tc>
      </w:tr>
      <w:tr>
        <w:trPr/>
        <w:tc>
          <w:tcPr>
            <w:tcW w:w="8145" w:type="dxa"/>
            <w:gridSpan w:val="13"/>
            <w:tcBorders/>
            <w:vAlign w:val="bottom"/>
          </w:tcPr>
          <w:p>
            <w:pPr>
              <w:pStyle w:val="TableContents"/>
              <w:bidi w:val="0"/>
              <w:spacing w:lineRule="auto" w:line="240" w:before="0" w:after="0"/>
              <w:ind w:left="0" w:right="0" w:hanging="0"/>
              <w:jc w:val="center"/>
              <w:rPr>
                <w:rFonts w:ascii="Times New Roman" w:hAnsi="Times New Roman"/>
                <w:color w:val="000000"/>
                <w:sz w:val="22"/>
              </w:rPr>
            </w:pPr>
            <w:r>
              <w:rPr>
                <w:rFonts w:ascii="Times New Roman" w:hAnsi="Times New Roman"/>
                <w:color w:val="000000"/>
                <w:sz w:val="22"/>
              </w:rPr>
              <w:t>(in thousands, except per share data)(unaudited)</w:t>
            </w:r>
          </w:p>
        </w:tc>
      </w:tr>
      <w:tr>
        <w:trPr/>
        <w:tc>
          <w:tcPr>
            <w:tcW w:w="2982" w:type="dxa"/>
            <w:tcBorders/>
            <w:vAlign w:val="bottom"/>
          </w:tcPr>
          <w:p>
            <w:pPr>
              <w:pStyle w:val="TableContents"/>
              <w:bidi w:val="0"/>
              <w:spacing w:lineRule="auto" w:line="240" w:before="0" w:after="0"/>
              <w:ind w:left="0" w:right="0" w:hanging="0"/>
              <w:jc w:val="center"/>
              <w:rPr>
                <w:rFonts w:cs="Times New Roman"/>
                <w:color w:val="000000"/>
                <w:szCs w:val="22"/>
              </w:rPr>
            </w:pPr>
            <w:r>
              <w:rPr>
                <w:rFonts w:cs="Times New Roman"/>
                <w:color w:val="000000"/>
                <w:szCs w:val="22"/>
              </w:rPr>
              <w:t>﻿</w:t>
            </w:r>
          </w:p>
        </w:tc>
        <w:tc>
          <w:tcPr>
            <w:tcW w:w="65" w:type="dxa"/>
            <w:tcBorders/>
            <w:vAlign w:val="bottom"/>
          </w:tcPr>
          <w:p>
            <w:pPr>
              <w:pStyle w:val="TableContents"/>
              <w:bidi w:val="0"/>
              <w:spacing w:lineRule="auto" w:line="240" w:before="0" w:after="0"/>
              <w:ind w:left="0" w:right="0" w:hanging="0"/>
              <w:jc w:val="center"/>
              <w:rPr/>
            </w:pPr>
            <w:r>
              <w:rPr/>
              <w:t> </w:t>
            </w:r>
          </w:p>
        </w:tc>
        <w:tc>
          <w:tcPr>
            <w:tcW w:w="178" w:type="dxa"/>
            <w:tcBorders/>
            <w:vAlign w:val="bottom"/>
          </w:tcPr>
          <w:p>
            <w:pPr>
              <w:pStyle w:val="TableContents"/>
              <w:bidi w:val="0"/>
              <w:spacing w:lineRule="auto" w:line="240" w:before="0" w:after="0"/>
              <w:ind w:left="0" w:right="0" w:hanging="0"/>
              <w:jc w:val="center"/>
              <w:rPr/>
            </w:pPr>
            <w:r>
              <w:rPr/>
              <w:t> </w:t>
            </w:r>
          </w:p>
        </w:tc>
        <w:tc>
          <w:tcPr>
            <w:tcW w:w="1020" w:type="dxa"/>
            <w:tcBorders/>
            <w:vAlign w:val="bottom"/>
          </w:tcPr>
          <w:p>
            <w:pPr>
              <w:pStyle w:val="TableContents"/>
              <w:bidi w:val="0"/>
              <w:spacing w:lineRule="auto" w:line="240" w:before="0" w:after="0"/>
              <w:ind w:left="0" w:right="0" w:hanging="0"/>
              <w:jc w:val="center"/>
              <w:rPr/>
            </w:pPr>
            <w:r>
              <w:rPr/>
              <w:t> </w:t>
            </w:r>
          </w:p>
        </w:tc>
        <w:tc>
          <w:tcPr>
            <w:tcW w:w="76" w:type="dxa"/>
            <w:tcBorders/>
            <w:vAlign w:val="bottom"/>
          </w:tcPr>
          <w:p>
            <w:pPr>
              <w:pStyle w:val="TableContents"/>
              <w:bidi w:val="0"/>
              <w:spacing w:lineRule="auto" w:line="240" w:before="0" w:after="0"/>
              <w:ind w:left="0" w:right="0" w:hanging="0"/>
              <w:jc w:val="center"/>
              <w:rPr/>
            </w:pPr>
            <w:r>
              <w:rPr/>
              <w:t> </w:t>
            </w:r>
          </w:p>
        </w:tc>
        <w:tc>
          <w:tcPr>
            <w:tcW w:w="178" w:type="dxa"/>
            <w:tcBorders/>
            <w:vAlign w:val="bottom"/>
          </w:tcPr>
          <w:p>
            <w:pPr>
              <w:pStyle w:val="TableContents"/>
              <w:bidi w:val="0"/>
              <w:spacing w:lineRule="auto" w:line="240" w:before="0" w:after="0"/>
              <w:ind w:left="0" w:right="0" w:hanging="0"/>
              <w:jc w:val="center"/>
              <w:rPr/>
            </w:pPr>
            <w:r>
              <w:rPr/>
              <w:t> </w:t>
            </w:r>
          </w:p>
        </w:tc>
        <w:tc>
          <w:tcPr>
            <w:tcW w:w="1020" w:type="dxa"/>
            <w:tcBorders/>
            <w:vAlign w:val="bottom"/>
          </w:tcPr>
          <w:p>
            <w:pPr>
              <w:pStyle w:val="TableContents"/>
              <w:bidi w:val="0"/>
              <w:spacing w:lineRule="auto" w:line="240" w:before="0" w:after="0"/>
              <w:ind w:left="0" w:right="0" w:hanging="0"/>
              <w:jc w:val="center"/>
              <w:rPr/>
            </w:pPr>
            <w:r>
              <w:rPr/>
              <w:t> </w:t>
            </w:r>
          </w:p>
        </w:tc>
        <w:tc>
          <w:tcPr>
            <w:tcW w:w="65" w:type="dxa"/>
            <w:tcBorders/>
            <w:vAlign w:val="bottom"/>
          </w:tcPr>
          <w:p>
            <w:pPr>
              <w:pStyle w:val="TableContents"/>
              <w:bidi w:val="0"/>
              <w:spacing w:lineRule="auto" w:line="240" w:before="0" w:after="0"/>
              <w:ind w:left="0" w:right="0" w:hanging="0"/>
              <w:jc w:val="center"/>
              <w:rPr/>
            </w:pPr>
            <w:r>
              <w:rPr/>
              <w:t> </w:t>
            </w:r>
          </w:p>
        </w:tc>
        <w:tc>
          <w:tcPr>
            <w:tcW w:w="162" w:type="dxa"/>
            <w:tcBorders/>
            <w:vAlign w:val="bottom"/>
          </w:tcPr>
          <w:p>
            <w:pPr>
              <w:pStyle w:val="TableContents"/>
              <w:bidi w:val="0"/>
              <w:spacing w:lineRule="auto" w:line="240" w:before="0" w:after="0"/>
              <w:ind w:left="0" w:right="0" w:hanging="0"/>
              <w:jc w:val="center"/>
              <w:rPr/>
            </w:pPr>
            <w:r>
              <w:rPr/>
              <w:t> </w:t>
            </w:r>
          </w:p>
        </w:tc>
        <w:tc>
          <w:tcPr>
            <w:tcW w:w="1072" w:type="dxa"/>
            <w:tcBorders/>
            <w:vAlign w:val="bottom"/>
          </w:tcPr>
          <w:p>
            <w:pPr>
              <w:pStyle w:val="TableContents"/>
              <w:bidi w:val="0"/>
              <w:spacing w:lineRule="auto" w:line="240" w:before="0" w:after="0"/>
              <w:ind w:left="0" w:right="0" w:hanging="0"/>
              <w:jc w:val="center"/>
              <w:rPr/>
            </w:pPr>
            <w:r>
              <w:rPr/>
              <w:t> </w:t>
            </w:r>
          </w:p>
        </w:tc>
        <w:tc>
          <w:tcPr>
            <w:tcW w:w="69" w:type="dxa"/>
            <w:tcBorders/>
            <w:vAlign w:val="bottom"/>
          </w:tcPr>
          <w:p>
            <w:pPr>
              <w:pStyle w:val="TableContents"/>
              <w:bidi w:val="0"/>
              <w:spacing w:lineRule="auto" w:line="240" w:before="0" w:after="0"/>
              <w:ind w:left="0" w:right="0" w:hanging="0"/>
              <w:jc w:val="center"/>
              <w:rPr/>
            </w:pPr>
            <w:r>
              <w:rPr/>
              <w:t> </w:t>
            </w:r>
          </w:p>
        </w:tc>
        <w:tc>
          <w:tcPr>
            <w:tcW w:w="162" w:type="dxa"/>
            <w:tcBorders/>
            <w:vAlign w:val="bottom"/>
          </w:tcPr>
          <w:p>
            <w:pPr>
              <w:pStyle w:val="TableContents"/>
              <w:bidi w:val="0"/>
              <w:spacing w:lineRule="auto" w:line="240" w:before="0" w:after="0"/>
              <w:ind w:left="0" w:right="0" w:hanging="0"/>
              <w:jc w:val="center"/>
              <w:rPr/>
            </w:pPr>
            <w:r>
              <w:rPr/>
              <w:t> </w:t>
            </w:r>
          </w:p>
        </w:tc>
        <w:tc>
          <w:tcPr>
            <w:tcW w:w="1096" w:type="dxa"/>
            <w:tcBorders/>
            <w:vAlign w:val="bottom"/>
          </w:tcPr>
          <w:p>
            <w:pPr>
              <w:pStyle w:val="TableContents"/>
              <w:bidi w:val="0"/>
              <w:spacing w:lineRule="auto" w:line="240" w:before="0" w:after="0"/>
              <w:ind w:left="0" w:right="0" w:hanging="0"/>
              <w:jc w:val="center"/>
              <w:rPr/>
            </w:pPr>
            <w:r>
              <w:rPr/>
              <w:t> </w:t>
            </w:r>
          </w:p>
        </w:tc>
      </w:tr>
      <w:tr>
        <w:trPr/>
        <w:tc>
          <w:tcPr>
            <w:tcW w:w="2982" w:type="dxa"/>
            <w:tcBorders/>
            <w:vAlign w:val="bottom"/>
          </w:tcPr>
          <w:p>
            <w:pPr>
              <w:pStyle w:val="TableContents"/>
              <w:bidi w:val="0"/>
              <w:spacing w:lineRule="auto" w:line="240" w:before="0" w:after="0"/>
              <w:ind w:left="0" w:right="0" w:hanging="0"/>
              <w:jc w:val="center"/>
              <w:rPr>
                <w:rFonts w:cs="Times New Roman"/>
                <w:bCs/>
                <w:color w:val="000000"/>
                <w:szCs w:val="22"/>
              </w:rPr>
            </w:pPr>
            <w:r>
              <w:rPr>
                <w:rFonts w:cs="Times New Roman"/>
                <w:bCs/>
                <w:color w:val="000000"/>
                <w:szCs w:val="22"/>
              </w:rPr>
              <w:t>﻿</w:t>
            </w:r>
          </w:p>
        </w:tc>
        <w:tc>
          <w:tcPr>
            <w:tcW w:w="65" w:type="dxa"/>
            <w:tcBorders/>
            <w:vAlign w:val="bottom"/>
          </w:tcPr>
          <w:p>
            <w:pPr>
              <w:pStyle w:val="TableContents"/>
              <w:bidi w:val="0"/>
              <w:spacing w:lineRule="auto" w:line="240" w:before="0" w:after="0"/>
              <w:ind w:left="0" w:right="0" w:hanging="0"/>
              <w:jc w:val="left"/>
              <w:rPr/>
            </w:pPr>
            <w:r>
              <w:rPr/>
              <w:t> </w:t>
            </w:r>
          </w:p>
        </w:tc>
        <w:tc>
          <w:tcPr>
            <w:tcW w:w="2472" w:type="dxa"/>
            <w:gridSpan w:val="5"/>
            <w:tcBorders/>
            <w:vAlign w:val="bottom"/>
          </w:tcPr>
          <w:p>
            <w:pPr>
              <w:pStyle w:val="TableContents"/>
              <w:bidi w:val="0"/>
              <w:spacing w:lineRule="auto" w:line="240" w:before="0" w:after="0"/>
              <w:ind w:left="0" w:right="0" w:hanging="0"/>
              <w:jc w:val="center"/>
              <w:rPr/>
            </w:pPr>
            <w:r>
              <w:rPr/>
              <w:t> </w:t>
            </w:r>
          </w:p>
        </w:tc>
        <w:tc>
          <w:tcPr>
            <w:tcW w:w="65" w:type="dxa"/>
            <w:tcBorders/>
            <w:vAlign w:val="bottom"/>
          </w:tcPr>
          <w:p>
            <w:pPr>
              <w:pStyle w:val="TableContents"/>
              <w:bidi w:val="0"/>
              <w:spacing w:lineRule="auto" w:line="240" w:before="0" w:after="0"/>
              <w:ind w:left="0" w:right="0" w:hanging="0"/>
              <w:jc w:val="left"/>
              <w:rPr/>
            </w:pPr>
            <w:r>
              <w:rPr/>
              <w:t> </w:t>
            </w:r>
          </w:p>
        </w:tc>
        <w:tc>
          <w:tcPr>
            <w:tcW w:w="2561" w:type="dxa"/>
            <w:gridSpan w:val="5"/>
            <w:tcBorders/>
            <w:vAlign w:val="bottom"/>
          </w:tcPr>
          <w:p>
            <w:pPr>
              <w:pStyle w:val="TableContents"/>
              <w:bidi w:val="0"/>
              <w:spacing w:lineRule="auto" w:line="240" w:before="0" w:after="0"/>
              <w:ind w:left="0" w:right="0" w:hanging="0"/>
              <w:jc w:val="center"/>
              <w:rPr/>
            </w:pPr>
            <w:r>
              <w:rPr/>
              <w:t> </w:t>
            </w:r>
          </w:p>
        </w:tc>
      </w:tr>
      <w:tr>
        <w:trPr/>
        <w:tc>
          <w:tcPr>
            <w:tcW w:w="2982" w:type="dxa"/>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tc>
        <w:tc>
          <w:tcPr>
            <w:tcW w:w="65" w:type="dxa"/>
            <w:tcBorders/>
            <w:vAlign w:val="bottom"/>
          </w:tcPr>
          <w:p>
            <w:pPr>
              <w:pStyle w:val="TableContents"/>
              <w:bidi w:val="0"/>
              <w:spacing w:lineRule="auto" w:line="240" w:before="0" w:after="0"/>
              <w:ind w:left="0" w:right="0" w:hanging="0"/>
              <w:jc w:val="left"/>
              <w:rPr/>
            </w:pPr>
            <w:r>
              <w:rPr/>
              <w:t> </w:t>
            </w:r>
          </w:p>
        </w:tc>
        <w:tc>
          <w:tcPr>
            <w:tcW w:w="2472" w:type="dxa"/>
            <w:gridSpan w:val="5"/>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color w:val="000000"/>
                <w:sz w:val="22"/>
              </w:rPr>
            </w:pPr>
            <w:r>
              <w:rPr>
                <w:rFonts w:ascii="Times New Roman" w:hAnsi="Times New Roman"/>
                <w:color w:val="000000"/>
                <w:sz w:val="22"/>
              </w:rPr>
              <w:t>Three Months Ended June 30,</w:t>
            </w:r>
          </w:p>
        </w:tc>
        <w:tc>
          <w:tcPr>
            <w:tcW w:w="65" w:type="dxa"/>
            <w:tcBorders/>
            <w:vAlign w:val="bottom"/>
          </w:tcPr>
          <w:p>
            <w:pPr>
              <w:pStyle w:val="TableContents"/>
              <w:bidi w:val="0"/>
              <w:spacing w:lineRule="auto" w:line="240" w:before="0" w:after="0"/>
              <w:ind w:left="0" w:right="0" w:hanging="0"/>
              <w:jc w:val="left"/>
              <w:rPr/>
            </w:pPr>
            <w:r>
              <w:rPr/>
              <w:t> </w:t>
            </w:r>
          </w:p>
        </w:tc>
        <w:tc>
          <w:tcPr>
            <w:tcW w:w="2561" w:type="dxa"/>
            <w:gridSpan w:val="5"/>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color w:val="000000"/>
                <w:sz w:val="22"/>
              </w:rPr>
            </w:pPr>
            <w:r>
              <w:rPr>
                <w:rFonts w:ascii="Times New Roman" w:hAnsi="Times New Roman"/>
                <w:color w:val="000000"/>
                <w:sz w:val="22"/>
              </w:rPr>
              <w:t>Six Months Ended June 30,</w:t>
            </w:r>
          </w:p>
        </w:tc>
      </w:tr>
      <w:tr>
        <w:trPr/>
        <w:tc>
          <w:tcPr>
            <w:tcW w:w="2982" w:type="dxa"/>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tc>
        <w:tc>
          <w:tcPr>
            <w:tcW w:w="65" w:type="dxa"/>
            <w:tcBorders/>
            <w:vAlign w:val="bottom"/>
          </w:tcPr>
          <w:p>
            <w:pPr>
              <w:pStyle w:val="TableContents"/>
              <w:bidi w:val="0"/>
              <w:spacing w:lineRule="auto" w:line="240" w:before="0" w:after="0"/>
              <w:ind w:left="0" w:right="0" w:hanging="0"/>
              <w:jc w:val="left"/>
              <w:rPr/>
            </w:pPr>
            <w:r>
              <w:rPr/>
              <w:t> </w:t>
            </w:r>
          </w:p>
        </w:tc>
        <w:tc>
          <w:tcPr>
            <w:tcW w:w="1198"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2026</w:t>
            </w:r>
          </w:p>
        </w:tc>
        <w:tc>
          <w:tcPr>
            <w:tcW w:w="76"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98"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color w:val="000000"/>
                <w:sz w:val="22"/>
              </w:rPr>
            </w:pPr>
            <w:r>
              <w:rPr>
                <w:rFonts w:ascii="Times New Roman" w:hAnsi="Times New Roman"/>
                <w:color w:val="000000"/>
                <w:sz w:val="22"/>
              </w:rPr>
              <w:t>2025</w:t>
            </w:r>
          </w:p>
        </w:tc>
        <w:tc>
          <w:tcPr>
            <w:tcW w:w="65" w:type="dxa"/>
            <w:tcBorders/>
            <w:vAlign w:val="bottom"/>
          </w:tcPr>
          <w:p>
            <w:pPr>
              <w:pStyle w:val="TableContents"/>
              <w:bidi w:val="0"/>
              <w:spacing w:lineRule="auto" w:line="240" w:before="0" w:after="0"/>
              <w:ind w:left="0" w:right="0" w:hanging="0"/>
              <w:jc w:val="left"/>
              <w:rPr/>
            </w:pPr>
            <w:r>
              <w:rPr/>
              <w:t> </w:t>
            </w:r>
          </w:p>
        </w:tc>
        <w:tc>
          <w:tcPr>
            <w:tcW w:w="1234"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2026</w:t>
            </w:r>
          </w:p>
        </w:tc>
        <w:tc>
          <w:tcPr>
            <w:tcW w:w="69"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258"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color w:val="000000"/>
                <w:sz w:val="22"/>
              </w:rPr>
            </w:pPr>
            <w:r>
              <w:rPr>
                <w:rFonts w:ascii="Times New Roman" w:hAnsi="Times New Roman"/>
                <w:color w:val="000000"/>
                <w:sz w:val="22"/>
              </w:rPr>
              <w:t>2025</w:t>
            </w:r>
          </w:p>
        </w:tc>
      </w:tr>
      <w:tr>
        <w:trPr/>
        <w:tc>
          <w:tcPr>
            <w:tcW w:w="2982"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Net income as reported</w:t>
            </w:r>
          </w:p>
        </w:tc>
        <w:tc>
          <w:tcPr>
            <w:tcW w:w="65" w:type="dxa"/>
            <w:tcBorders/>
            <w:vAlign w:val="bottom"/>
          </w:tcPr>
          <w:p>
            <w:pPr>
              <w:pStyle w:val="TableContents"/>
              <w:bidi w:val="0"/>
              <w:spacing w:lineRule="auto" w:line="240" w:before="0" w:after="0"/>
              <w:ind w:left="0" w:right="0" w:hanging="0"/>
              <w:jc w:val="left"/>
              <w:rPr/>
            </w:pPr>
            <w:r>
              <w:rPr/>
              <w:t> </w:t>
            </w:r>
          </w:p>
        </w:tc>
        <w:tc>
          <w:tcPr>
            <w:tcW w:w="178" w:type="dxa"/>
            <w:tcBorders>
              <w:top w:val="single" w:sz="8" w:space="0" w:color="000000"/>
            </w:tcBorders>
            <w:tcMar>
              <w:top w:w="28" w:type="dxa"/>
            </w:tcMar>
            <w:vAlign w:val="bottom"/>
          </w:tcPr>
          <w:p>
            <w:pPr>
              <w:pStyle w:val="TableContents"/>
              <w:bidi w:val="0"/>
              <w:spacing w:lineRule="auto" w:line="240" w:before="0" w:after="0"/>
              <w:ind w:left="0" w:right="0" w:hanging="0"/>
              <w:jc w:val="left"/>
              <w:rPr>
                <w:rFonts w:ascii="Times New Roman" w:hAnsi="Times New Roman"/>
                <w:b/>
                <w:color w:val="000000"/>
                <w:sz w:val="22"/>
              </w:rPr>
            </w:pPr>
            <w:r>
              <w:rPr>
                <w:rFonts w:ascii="Times New Roman" w:hAnsi="Times New Roman"/>
                <w:b/>
                <w:color w:val="000000"/>
                <w:sz w:val="22"/>
              </w:rPr>
              <w:t>$</w:t>
            </w:r>
          </w:p>
        </w:tc>
        <w:tc>
          <w:tcPr>
            <w:tcW w:w="1020"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67,703  </w:t>
            </w:r>
          </w:p>
        </w:tc>
        <w:tc>
          <w:tcPr>
            <w:tcW w:w="76" w:type="dxa"/>
            <w:tcBorders/>
            <w:vAlign w:val="bottom"/>
          </w:tcPr>
          <w:p>
            <w:pPr>
              <w:pStyle w:val="TableContents"/>
              <w:bidi w:val="0"/>
              <w:spacing w:lineRule="auto" w:line="240" w:before="0" w:after="0"/>
              <w:ind w:left="0" w:right="0" w:hanging="0"/>
              <w:jc w:val="left"/>
              <w:rPr/>
            </w:pPr>
            <w:r>
              <w:rPr/>
              <w:t> </w:t>
            </w:r>
          </w:p>
        </w:tc>
        <w:tc>
          <w:tcPr>
            <w:tcW w:w="178" w:type="dxa"/>
            <w:tcBorders>
              <w:top w:val="single" w:sz="8" w:space="0" w:color="000000"/>
            </w:tcBorders>
            <w:tcMar>
              <w:top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02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52,493  </w:t>
            </w:r>
          </w:p>
        </w:tc>
        <w:tc>
          <w:tcPr>
            <w:tcW w:w="65" w:type="dxa"/>
            <w:tcBorders/>
            <w:vAlign w:val="bottom"/>
          </w:tcPr>
          <w:p>
            <w:pPr>
              <w:pStyle w:val="TableContents"/>
              <w:bidi w:val="0"/>
              <w:spacing w:lineRule="auto" w:line="240" w:before="0" w:after="0"/>
              <w:ind w:left="0" w:right="0" w:hanging="0"/>
              <w:jc w:val="left"/>
              <w:rPr/>
            </w:pPr>
            <w:r>
              <w:rPr/>
              <w:t> </w:t>
            </w:r>
          </w:p>
        </w:tc>
        <w:tc>
          <w:tcPr>
            <w:tcW w:w="162" w:type="dxa"/>
            <w:tcBorders>
              <w:top w:val="single" w:sz="8" w:space="0" w:color="000000"/>
            </w:tcBorders>
            <w:tcMar>
              <w:top w:w="28" w:type="dxa"/>
            </w:tcMar>
            <w:vAlign w:val="bottom"/>
          </w:tcPr>
          <w:p>
            <w:pPr>
              <w:pStyle w:val="TableContents"/>
              <w:bidi w:val="0"/>
              <w:spacing w:lineRule="auto" w:line="240" w:before="0" w:after="0"/>
              <w:ind w:left="0" w:right="0" w:hanging="0"/>
              <w:jc w:val="left"/>
              <w:rPr>
                <w:rFonts w:ascii="Times New Roman" w:hAnsi="Times New Roman"/>
                <w:b/>
                <w:color w:val="000000"/>
                <w:sz w:val="22"/>
              </w:rPr>
            </w:pPr>
            <w:r>
              <w:rPr>
                <w:rFonts w:ascii="Times New Roman" w:hAnsi="Times New Roman"/>
                <w:b/>
                <w:color w:val="000000"/>
                <w:sz w:val="22"/>
              </w:rPr>
              <w:t>$</w:t>
            </w:r>
          </w:p>
        </w:tc>
        <w:tc>
          <w:tcPr>
            <w:tcW w:w="1072"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134,005  </w:t>
            </w:r>
          </w:p>
        </w:tc>
        <w:tc>
          <w:tcPr>
            <w:tcW w:w="69" w:type="dxa"/>
            <w:tcBorders/>
            <w:vAlign w:val="bottom"/>
          </w:tcPr>
          <w:p>
            <w:pPr>
              <w:pStyle w:val="TableContents"/>
              <w:bidi w:val="0"/>
              <w:spacing w:lineRule="auto" w:line="240" w:before="0" w:after="0"/>
              <w:ind w:left="0" w:right="0" w:hanging="0"/>
              <w:jc w:val="left"/>
              <w:rPr/>
            </w:pPr>
            <w:r>
              <w:rPr/>
              <w:t> </w:t>
            </w:r>
          </w:p>
        </w:tc>
        <w:tc>
          <w:tcPr>
            <w:tcW w:w="162" w:type="dxa"/>
            <w:tcBorders>
              <w:top w:val="single" w:sz="8" w:space="0" w:color="000000"/>
            </w:tcBorders>
            <w:tcMar>
              <w:top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096"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124,250  </w:t>
            </w:r>
          </w:p>
        </w:tc>
      </w:tr>
      <w:tr>
        <w:trPr/>
        <w:tc>
          <w:tcPr>
            <w:tcW w:w="2982"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Add/(deduct) pre-tax cost of:</w:t>
            </w:r>
          </w:p>
        </w:tc>
        <w:tc>
          <w:tcPr>
            <w:tcW w:w="65" w:type="dxa"/>
            <w:tcBorders/>
            <w:vAlign w:val="bottom"/>
          </w:tcPr>
          <w:p>
            <w:pPr>
              <w:pStyle w:val="TableContents"/>
              <w:bidi w:val="0"/>
              <w:spacing w:lineRule="auto" w:line="240" w:before="0" w:after="0"/>
              <w:ind w:left="0" w:right="0" w:hanging="0"/>
              <w:jc w:val="left"/>
              <w:rPr/>
            </w:pPr>
            <w:r>
              <w:rPr/>
              <w:t> </w:t>
            </w:r>
          </w:p>
        </w:tc>
        <w:tc>
          <w:tcPr>
            <w:tcW w:w="178" w:type="dxa"/>
            <w:tcBorders/>
            <w:vAlign w:val="bottom"/>
          </w:tcPr>
          <w:p>
            <w:pPr>
              <w:pStyle w:val="TableContents"/>
              <w:bidi w:val="0"/>
              <w:spacing w:lineRule="auto" w:line="240" w:before="0" w:after="0"/>
              <w:ind w:left="0" w:right="0" w:hanging="0"/>
              <w:jc w:val="left"/>
              <w:rPr/>
            </w:pPr>
            <w:r>
              <w:rPr/>
              <w:t> </w:t>
            </w:r>
          </w:p>
        </w:tc>
        <w:tc>
          <w:tcPr>
            <w:tcW w:w="1020" w:type="dxa"/>
            <w:tcBorders/>
            <w:vAlign w:val="bottom"/>
          </w:tcPr>
          <w:p>
            <w:pPr>
              <w:pStyle w:val="TableContents"/>
              <w:bidi w:val="0"/>
              <w:spacing w:lineRule="auto" w:line="240" w:before="0" w:after="0"/>
              <w:ind w:left="0" w:right="0" w:hanging="0"/>
              <w:jc w:val="left"/>
              <w:rPr/>
            </w:pPr>
            <w:r>
              <w:rPr/>
              <w:t> </w:t>
            </w:r>
          </w:p>
        </w:tc>
        <w:tc>
          <w:tcPr>
            <w:tcW w:w="76" w:type="dxa"/>
            <w:tcBorders/>
            <w:vAlign w:val="bottom"/>
          </w:tcPr>
          <w:p>
            <w:pPr>
              <w:pStyle w:val="TableContents"/>
              <w:bidi w:val="0"/>
              <w:spacing w:lineRule="auto" w:line="240" w:before="0" w:after="0"/>
              <w:ind w:left="0" w:right="0" w:hanging="0"/>
              <w:jc w:val="left"/>
              <w:rPr/>
            </w:pPr>
            <w:r>
              <w:rPr/>
              <w:t> </w:t>
            </w:r>
          </w:p>
        </w:tc>
        <w:tc>
          <w:tcPr>
            <w:tcW w:w="178" w:type="dxa"/>
            <w:tcBorders/>
            <w:vAlign w:val="bottom"/>
          </w:tcPr>
          <w:p>
            <w:pPr>
              <w:pStyle w:val="TableContents"/>
              <w:bidi w:val="0"/>
              <w:spacing w:lineRule="auto" w:line="240" w:before="0" w:after="0"/>
              <w:ind w:left="0" w:right="0" w:hanging="0"/>
              <w:jc w:val="left"/>
              <w:rPr/>
            </w:pPr>
            <w:r>
              <w:rPr/>
              <w:t> </w:t>
            </w:r>
          </w:p>
        </w:tc>
        <w:tc>
          <w:tcPr>
            <w:tcW w:w="1020" w:type="dxa"/>
            <w:tcBorders/>
            <w:vAlign w:val="bottom"/>
          </w:tcPr>
          <w:p>
            <w:pPr>
              <w:pStyle w:val="TableContents"/>
              <w:bidi w:val="0"/>
              <w:spacing w:lineRule="auto" w:line="240" w:before="0" w:after="0"/>
              <w:ind w:left="0" w:right="0" w:hanging="0"/>
              <w:jc w:val="left"/>
              <w:rPr/>
            </w:pPr>
            <w:r>
              <w:rPr/>
              <w:t> </w:t>
            </w:r>
          </w:p>
        </w:tc>
        <w:tc>
          <w:tcPr>
            <w:tcW w:w="65" w:type="dxa"/>
            <w:tcBorders/>
            <w:vAlign w:val="bottom"/>
          </w:tcPr>
          <w:p>
            <w:pPr>
              <w:pStyle w:val="TableContents"/>
              <w:bidi w:val="0"/>
              <w:spacing w:lineRule="auto" w:line="240" w:before="0" w:after="0"/>
              <w:ind w:left="0" w:right="0" w:hanging="0"/>
              <w:jc w:val="left"/>
              <w:rPr/>
            </w:pPr>
            <w:r>
              <w:rPr/>
              <w:t> </w:t>
            </w:r>
          </w:p>
        </w:tc>
        <w:tc>
          <w:tcPr>
            <w:tcW w:w="162" w:type="dxa"/>
            <w:tcBorders/>
            <w:vAlign w:val="bottom"/>
          </w:tcPr>
          <w:p>
            <w:pPr>
              <w:pStyle w:val="TableContents"/>
              <w:bidi w:val="0"/>
              <w:spacing w:lineRule="auto" w:line="240" w:before="0" w:after="0"/>
              <w:ind w:left="0" w:right="0" w:hanging="0"/>
              <w:jc w:val="left"/>
              <w:rPr/>
            </w:pPr>
            <w:r>
              <w:rPr/>
              <w:t> </w:t>
            </w:r>
          </w:p>
        </w:tc>
        <w:tc>
          <w:tcPr>
            <w:tcW w:w="1072" w:type="dxa"/>
            <w:tcBorders/>
            <w:vAlign w:val="bottom"/>
          </w:tcPr>
          <w:p>
            <w:pPr>
              <w:pStyle w:val="TableContents"/>
              <w:bidi w:val="0"/>
              <w:spacing w:lineRule="auto" w:line="240" w:before="0" w:after="0"/>
              <w:ind w:left="0" w:right="0" w:hanging="0"/>
              <w:jc w:val="left"/>
              <w:rPr/>
            </w:pPr>
            <w:r>
              <w:rPr/>
              <w:t> </w:t>
            </w:r>
          </w:p>
        </w:tc>
        <w:tc>
          <w:tcPr>
            <w:tcW w:w="69" w:type="dxa"/>
            <w:tcBorders/>
            <w:vAlign w:val="bottom"/>
          </w:tcPr>
          <w:p>
            <w:pPr>
              <w:pStyle w:val="TableContents"/>
              <w:bidi w:val="0"/>
              <w:spacing w:lineRule="auto" w:line="240" w:before="0" w:after="0"/>
              <w:ind w:left="0" w:right="0" w:hanging="0"/>
              <w:jc w:val="left"/>
              <w:rPr/>
            </w:pPr>
            <w:r>
              <w:rPr/>
              <w:t> </w:t>
            </w:r>
          </w:p>
        </w:tc>
        <w:tc>
          <w:tcPr>
            <w:tcW w:w="162" w:type="dxa"/>
            <w:tcBorders/>
            <w:vAlign w:val="bottom"/>
          </w:tcPr>
          <w:p>
            <w:pPr>
              <w:pStyle w:val="TableContents"/>
              <w:bidi w:val="0"/>
              <w:spacing w:lineRule="auto" w:line="240" w:before="0" w:after="0"/>
              <w:ind w:left="0" w:right="0" w:hanging="0"/>
              <w:jc w:val="left"/>
              <w:rPr/>
            </w:pPr>
            <w:r>
              <w:rPr/>
              <w:t> </w:t>
            </w:r>
          </w:p>
        </w:tc>
        <w:tc>
          <w:tcPr>
            <w:tcW w:w="1096" w:type="dxa"/>
            <w:tcBorders/>
            <w:vAlign w:val="bottom"/>
          </w:tcPr>
          <w:p>
            <w:pPr>
              <w:pStyle w:val="TableContents"/>
              <w:bidi w:val="0"/>
              <w:spacing w:lineRule="auto" w:line="240" w:before="0" w:after="0"/>
              <w:ind w:left="0" w:right="0" w:hanging="0"/>
              <w:jc w:val="left"/>
              <w:rPr/>
            </w:pPr>
            <w:r>
              <w:rPr/>
              <w:t> </w:t>
            </w:r>
          </w:p>
        </w:tc>
      </w:tr>
      <w:tr>
        <w:trPr/>
        <w:tc>
          <w:tcPr>
            <w:tcW w:w="2982" w:type="dxa"/>
            <w:tcBorders/>
            <w:vAlign w:val="bottom"/>
          </w:tcPr>
          <w:p>
            <w:pPr>
              <w:pStyle w:val="TableContents"/>
              <w:bidi w:val="0"/>
              <w:spacing w:lineRule="auto" w:line="240" w:before="0" w:after="0"/>
              <w:ind w:left="360" w:right="0" w:hanging="0"/>
              <w:jc w:val="left"/>
              <w:rPr>
                <w:rFonts w:ascii="Times New Roman" w:hAnsi="Times New Roman"/>
                <w:color w:val="000000"/>
                <w:sz w:val="22"/>
              </w:rPr>
            </w:pPr>
            <w:r>
              <w:rPr>
                <w:rFonts w:ascii="Times New Roman" w:hAnsi="Times New Roman"/>
                <w:color w:val="000000"/>
                <w:sz w:val="22"/>
              </w:rPr>
              <w:t>Stock option expense</w:t>
            </w:r>
          </w:p>
        </w:tc>
        <w:tc>
          <w:tcPr>
            <w:tcW w:w="65" w:type="dxa"/>
            <w:tcBorders/>
            <w:vAlign w:val="bottom"/>
          </w:tcPr>
          <w:p>
            <w:pPr>
              <w:pStyle w:val="TableContents"/>
              <w:bidi w:val="0"/>
              <w:spacing w:lineRule="auto" w:line="240" w:before="0" w:after="0"/>
              <w:ind w:left="0" w:right="0" w:hanging="0"/>
              <w:jc w:val="left"/>
              <w:rPr/>
            </w:pPr>
            <w:r>
              <w:rPr/>
              <w:t> </w:t>
            </w:r>
          </w:p>
        </w:tc>
        <w:tc>
          <w:tcPr>
            <w:tcW w:w="178" w:type="dxa"/>
            <w:tcBorders/>
            <w:vAlign w:val="bottom"/>
          </w:tcPr>
          <w:p>
            <w:pPr>
              <w:pStyle w:val="TableContents"/>
              <w:bidi w:val="0"/>
              <w:spacing w:lineRule="auto" w:line="240" w:before="0" w:after="0"/>
              <w:ind w:left="0" w:right="0" w:hanging="0"/>
              <w:jc w:val="left"/>
              <w:rPr/>
            </w:pPr>
            <w:r>
              <w:rPr/>
              <w:t> </w:t>
            </w:r>
          </w:p>
        </w:tc>
        <w:tc>
          <w:tcPr>
            <w:tcW w:w="1020" w:type="dxa"/>
            <w:tcBorders/>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9,052  </w:t>
            </w:r>
          </w:p>
        </w:tc>
        <w:tc>
          <w:tcPr>
            <w:tcW w:w="76" w:type="dxa"/>
            <w:tcBorders/>
            <w:vAlign w:val="bottom"/>
          </w:tcPr>
          <w:p>
            <w:pPr>
              <w:pStyle w:val="TableContents"/>
              <w:bidi w:val="0"/>
              <w:spacing w:lineRule="auto" w:line="240" w:before="0" w:after="0"/>
              <w:ind w:left="0" w:right="0" w:hanging="0"/>
              <w:jc w:val="left"/>
              <w:rPr/>
            </w:pPr>
            <w:r>
              <w:rPr/>
              <w:t> </w:t>
            </w:r>
          </w:p>
        </w:tc>
        <w:tc>
          <w:tcPr>
            <w:tcW w:w="178" w:type="dxa"/>
            <w:tcBorders/>
            <w:vAlign w:val="bottom"/>
          </w:tcPr>
          <w:p>
            <w:pPr>
              <w:pStyle w:val="TableContents"/>
              <w:bidi w:val="0"/>
              <w:spacing w:lineRule="auto" w:line="240" w:before="0" w:after="0"/>
              <w:ind w:left="0" w:right="0" w:hanging="0"/>
              <w:jc w:val="left"/>
              <w:rPr/>
            </w:pPr>
            <w:r>
              <w:rPr/>
              <w:t> </w:t>
            </w:r>
          </w:p>
        </w:tc>
        <w:tc>
          <w:tcPr>
            <w:tcW w:w="10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9,216  </w:t>
            </w:r>
          </w:p>
        </w:tc>
        <w:tc>
          <w:tcPr>
            <w:tcW w:w="65" w:type="dxa"/>
            <w:tcBorders/>
            <w:vAlign w:val="bottom"/>
          </w:tcPr>
          <w:p>
            <w:pPr>
              <w:pStyle w:val="TableContents"/>
              <w:bidi w:val="0"/>
              <w:spacing w:lineRule="auto" w:line="240" w:before="0" w:after="0"/>
              <w:ind w:left="0" w:right="0" w:hanging="0"/>
              <w:jc w:val="left"/>
              <w:rPr/>
            </w:pPr>
            <w:r>
              <w:rPr/>
              <w:t> </w:t>
            </w:r>
          </w:p>
        </w:tc>
        <w:tc>
          <w:tcPr>
            <w:tcW w:w="162" w:type="dxa"/>
            <w:tcBorders/>
            <w:vAlign w:val="bottom"/>
          </w:tcPr>
          <w:p>
            <w:pPr>
              <w:pStyle w:val="TableContents"/>
              <w:bidi w:val="0"/>
              <w:spacing w:lineRule="auto" w:line="240" w:before="0" w:after="0"/>
              <w:ind w:left="0" w:right="0" w:hanging="0"/>
              <w:jc w:val="left"/>
              <w:rPr/>
            </w:pPr>
            <w:r>
              <w:rPr/>
              <w:t> </w:t>
            </w:r>
          </w:p>
        </w:tc>
        <w:tc>
          <w:tcPr>
            <w:tcW w:w="1072" w:type="dxa"/>
            <w:tcBorders/>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18,302  </w:t>
            </w:r>
          </w:p>
        </w:tc>
        <w:tc>
          <w:tcPr>
            <w:tcW w:w="69" w:type="dxa"/>
            <w:tcBorders/>
            <w:vAlign w:val="bottom"/>
          </w:tcPr>
          <w:p>
            <w:pPr>
              <w:pStyle w:val="TableContents"/>
              <w:bidi w:val="0"/>
              <w:spacing w:lineRule="auto" w:line="240" w:before="0" w:after="0"/>
              <w:ind w:left="0" w:right="0" w:hanging="0"/>
              <w:jc w:val="left"/>
              <w:rPr/>
            </w:pPr>
            <w:r>
              <w:rPr/>
              <w:t> </w:t>
            </w:r>
          </w:p>
        </w:tc>
        <w:tc>
          <w:tcPr>
            <w:tcW w:w="162" w:type="dxa"/>
            <w:tcBorders/>
            <w:vAlign w:val="bottom"/>
          </w:tcPr>
          <w:p>
            <w:pPr>
              <w:pStyle w:val="TableContents"/>
              <w:bidi w:val="0"/>
              <w:spacing w:lineRule="auto" w:line="240" w:before="0" w:after="0"/>
              <w:ind w:left="0" w:right="0" w:hanging="0"/>
              <w:jc w:val="left"/>
              <w:rPr/>
            </w:pPr>
            <w:r>
              <w:rPr/>
              <w:t> </w:t>
            </w:r>
          </w:p>
        </w:tc>
        <w:tc>
          <w:tcPr>
            <w:tcW w:w="1096"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18,307  </w:t>
            </w:r>
          </w:p>
        </w:tc>
      </w:tr>
      <w:tr>
        <w:trPr/>
        <w:tc>
          <w:tcPr>
            <w:tcW w:w="2982" w:type="dxa"/>
            <w:tcBorders/>
            <w:vAlign w:val="bottom"/>
          </w:tcPr>
          <w:p>
            <w:pPr>
              <w:pStyle w:val="TableContents"/>
              <w:bidi w:val="0"/>
              <w:spacing w:lineRule="auto" w:line="240" w:before="0" w:after="0"/>
              <w:ind w:left="360" w:right="0" w:hanging="0"/>
              <w:jc w:val="left"/>
              <w:rPr>
                <w:rFonts w:ascii="Times New Roman" w:hAnsi="Times New Roman"/>
                <w:color w:val="000000"/>
                <w:sz w:val="22"/>
              </w:rPr>
            </w:pPr>
            <w:r>
              <w:rPr>
                <w:rFonts w:ascii="Times New Roman" w:hAnsi="Times New Roman"/>
                <w:color w:val="000000"/>
                <w:sz w:val="22"/>
              </w:rPr>
              <w:t>Amortization of reacquired franchise rights</w:t>
            </w:r>
          </w:p>
        </w:tc>
        <w:tc>
          <w:tcPr>
            <w:tcW w:w="65" w:type="dxa"/>
            <w:tcBorders/>
            <w:vAlign w:val="bottom"/>
          </w:tcPr>
          <w:p>
            <w:pPr>
              <w:pStyle w:val="TableContents"/>
              <w:bidi w:val="0"/>
              <w:spacing w:lineRule="auto" w:line="240" w:before="0" w:after="0"/>
              <w:ind w:left="0" w:right="0" w:hanging="0"/>
              <w:jc w:val="left"/>
              <w:rPr/>
            </w:pPr>
            <w:r>
              <w:rPr/>
              <w:t> </w:t>
            </w:r>
          </w:p>
        </w:tc>
        <w:tc>
          <w:tcPr>
            <w:tcW w:w="178" w:type="dxa"/>
            <w:tcBorders/>
            <w:vAlign w:val="bottom"/>
          </w:tcPr>
          <w:p>
            <w:pPr>
              <w:pStyle w:val="TableContents"/>
              <w:bidi w:val="0"/>
              <w:spacing w:lineRule="auto" w:line="240" w:before="0" w:after="0"/>
              <w:ind w:left="0" w:right="0" w:hanging="0"/>
              <w:jc w:val="left"/>
              <w:rPr/>
            </w:pPr>
            <w:r>
              <w:rPr/>
              <w:t> </w:t>
            </w:r>
          </w:p>
        </w:tc>
        <w:tc>
          <w:tcPr>
            <w:tcW w:w="1020" w:type="dxa"/>
            <w:tcBorders/>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2,352  </w:t>
            </w:r>
          </w:p>
        </w:tc>
        <w:tc>
          <w:tcPr>
            <w:tcW w:w="76" w:type="dxa"/>
            <w:tcBorders/>
            <w:vAlign w:val="bottom"/>
          </w:tcPr>
          <w:p>
            <w:pPr>
              <w:pStyle w:val="TableContents"/>
              <w:bidi w:val="0"/>
              <w:spacing w:lineRule="auto" w:line="240" w:before="0" w:after="0"/>
              <w:ind w:left="0" w:right="0" w:hanging="0"/>
              <w:jc w:val="left"/>
              <w:rPr/>
            </w:pPr>
            <w:r>
              <w:rPr/>
              <w:t> </w:t>
            </w:r>
          </w:p>
        </w:tc>
        <w:tc>
          <w:tcPr>
            <w:tcW w:w="178" w:type="dxa"/>
            <w:tcBorders/>
            <w:vAlign w:val="bottom"/>
          </w:tcPr>
          <w:p>
            <w:pPr>
              <w:pStyle w:val="TableContents"/>
              <w:bidi w:val="0"/>
              <w:spacing w:lineRule="auto" w:line="240" w:before="0" w:after="0"/>
              <w:ind w:left="0" w:right="0" w:hanging="0"/>
              <w:jc w:val="left"/>
              <w:rPr/>
            </w:pPr>
            <w:r>
              <w:rPr/>
              <w:t> </w:t>
            </w:r>
          </w:p>
        </w:tc>
        <w:tc>
          <w:tcPr>
            <w:tcW w:w="10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2,352  </w:t>
            </w:r>
          </w:p>
        </w:tc>
        <w:tc>
          <w:tcPr>
            <w:tcW w:w="65" w:type="dxa"/>
            <w:tcBorders/>
            <w:vAlign w:val="bottom"/>
          </w:tcPr>
          <w:p>
            <w:pPr>
              <w:pStyle w:val="TableContents"/>
              <w:bidi w:val="0"/>
              <w:spacing w:lineRule="auto" w:line="240" w:before="0" w:after="0"/>
              <w:ind w:left="0" w:right="0" w:hanging="0"/>
              <w:jc w:val="left"/>
              <w:rPr/>
            </w:pPr>
            <w:r>
              <w:rPr/>
              <w:t> </w:t>
            </w:r>
          </w:p>
        </w:tc>
        <w:tc>
          <w:tcPr>
            <w:tcW w:w="162" w:type="dxa"/>
            <w:tcBorders/>
            <w:vAlign w:val="bottom"/>
          </w:tcPr>
          <w:p>
            <w:pPr>
              <w:pStyle w:val="TableContents"/>
              <w:bidi w:val="0"/>
              <w:spacing w:lineRule="auto" w:line="240" w:before="0" w:after="0"/>
              <w:ind w:left="0" w:right="0" w:hanging="0"/>
              <w:jc w:val="left"/>
              <w:rPr/>
            </w:pPr>
            <w:r>
              <w:rPr/>
              <w:t> </w:t>
            </w:r>
          </w:p>
        </w:tc>
        <w:tc>
          <w:tcPr>
            <w:tcW w:w="1072" w:type="dxa"/>
            <w:tcBorders/>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4,704  </w:t>
            </w:r>
          </w:p>
        </w:tc>
        <w:tc>
          <w:tcPr>
            <w:tcW w:w="69" w:type="dxa"/>
            <w:tcBorders/>
            <w:vAlign w:val="bottom"/>
          </w:tcPr>
          <w:p>
            <w:pPr>
              <w:pStyle w:val="TableContents"/>
              <w:bidi w:val="0"/>
              <w:spacing w:lineRule="auto" w:line="240" w:before="0" w:after="0"/>
              <w:ind w:left="0" w:right="0" w:hanging="0"/>
              <w:jc w:val="left"/>
              <w:rPr/>
            </w:pPr>
            <w:r>
              <w:rPr/>
              <w:t> </w:t>
            </w:r>
          </w:p>
        </w:tc>
        <w:tc>
          <w:tcPr>
            <w:tcW w:w="162" w:type="dxa"/>
            <w:tcBorders/>
            <w:vAlign w:val="bottom"/>
          </w:tcPr>
          <w:p>
            <w:pPr>
              <w:pStyle w:val="TableContents"/>
              <w:bidi w:val="0"/>
              <w:spacing w:lineRule="auto" w:line="240" w:before="0" w:after="0"/>
              <w:ind w:left="0" w:right="0" w:hanging="0"/>
              <w:jc w:val="left"/>
              <w:rPr/>
            </w:pPr>
            <w:r>
              <w:rPr/>
              <w:t> </w:t>
            </w:r>
          </w:p>
        </w:tc>
        <w:tc>
          <w:tcPr>
            <w:tcW w:w="1096"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4,704  </w:t>
            </w:r>
          </w:p>
        </w:tc>
      </w:tr>
      <w:tr>
        <w:trPr/>
        <w:tc>
          <w:tcPr>
            <w:tcW w:w="2982" w:type="dxa"/>
            <w:tcBorders/>
            <w:vAlign w:val="bottom"/>
          </w:tcPr>
          <w:p>
            <w:pPr>
              <w:pStyle w:val="TableContents"/>
              <w:bidi w:val="0"/>
              <w:spacing w:lineRule="auto" w:line="240" w:before="0" w:after="0"/>
              <w:ind w:left="360" w:right="0" w:hanging="0"/>
              <w:jc w:val="left"/>
              <w:rPr>
                <w:rFonts w:ascii="Times New Roman" w:hAnsi="Times New Roman"/>
                <w:color w:val="000000"/>
                <w:sz w:val="22"/>
              </w:rPr>
            </w:pPr>
            <w:r>
              <w:rPr>
                <w:rFonts w:ascii="Times New Roman" w:hAnsi="Times New Roman"/>
                <w:color w:val="000000"/>
                <w:sz w:val="22"/>
              </w:rPr>
              <w:t>Long-term incentive compensation</w:t>
            </w:r>
          </w:p>
        </w:tc>
        <w:tc>
          <w:tcPr>
            <w:tcW w:w="65" w:type="dxa"/>
            <w:tcBorders/>
            <w:vAlign w:val="bottom"/>
          </w:tcPr>
          <w:p>
            <w:pPr>
              <w:pStyle w:val="TableContents"/>
              <w:bidi w:val="0"/>
              <w:spacing w:lineRule="auto" w:line="240" w:before="0" w:after="0"/>
              <w:ind w:left="0" w:right="0" w:hanging="0"/>
              <w:jc w:val="left"/>
              <w:rPr/>
            </w:pPr>
            <w:r>
              <w:rPr/>
              <w:t> </w:t>
            </w:r>
          </w:p>
        </w:tc>
        <w:tc>
          <w:tcPr>
            <w:tcW w:w="178" w:type="dxa"/>
            <w:tcBorders/>
            <w:vAlign w:val="bottom"/>
          </w:tcPr>
          <w:p>
            <w:pPr>
              <w:pStyle w:val="TableContents"/>
              <w:bidi w:val="0"/>
              <w:spacing w:lineRule="auto" w:line="240" w:before="0" w:after="0"/>
              <w:ind w:left="0" w:right="0" w:hanging="0"/>
              <w:jc w:val="left"/>
              <w:rPr/>
            </w:pPr>
            <w:r>
              <w:rPr/>
              <w:t> </w:t>
            </w:r>
          </w:p>
        </w:tc>
        <w:tc>
          <w:tcPr>
            <w:tcW w:w="1020" w:type="dxa"/>
            <w:tcBorders/>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2,248  </w:t>
            </w:r>
          </w:p>
        </w:tc>
        <w:tc>
          <w:tcPr>
            <w:tcW w:w="76" w:type="dxa"/>
            <w:tcBorders/>
            <w:vAlign w:val="bottom"/>
          </w:tcPr>
          <w:p>
            <w:pPr>
              <w:pStyle w:val="TableContents"/>
              <w:bidi w:val="0"/>
              <w:spacing w:lineRule="auto" w:line="240" w:before="0" w:after="0"/>
              <w:ind w:left="0" w:right="0" w:hanging="0"/>
              <w:jc w:val="left"/>
              <w:rPr/>
            </w:pPr>
            <w:r>
              <w:rPr/>
              <w:t> </w:t>
            </w:r>
          </w:p>
        </w:tc>
        <w:tc>
          <w:tcPr>
            <w:tcW w:w="178" w:type="dxa"/>
            <w:tcBorders/>
            <w:vAlign w:val="bottom"/>
          </w:tcPr>
          <w:p>
            <w:pPr>
              <w:pStyle w:val="TableContents"/>
              <w:bidi w:val="0"/>
              <w:spacing w:lineRule="auto" w:line="240" w:before="0" w:after="0"/>
              <w:ind w:left="0" w:right="0" w:hanging="0"/>
              <w:jc w:val="left"/>
              <w:rPr/>
            </w:pPr>
            <w:r>
              <w:rPr/>
              <w:t> </w:t>
            </w:r>
          </w:p>
        </w:tc>
        <w:tc>
          <w:tcPr>
            <w:tcW w:w="10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853  </w:t>
            </w:r>
          </w:p>
        </w:tc>
        <w:tc>
          <w:tcPr>
            <w:tcW w:w="65" w:type="dxa"/>
            <w:tcBorders/>
            <w:vAlign w:val="bottom"/>
          </w:tcPr>
          <w:p>
            <w:pPr>
              <w:pStyle w:val="TableContents"/>
              <w:bidi w:val="0"/>
              <w:spacing w:lineRule="auto" w:line="240" w:before="0" w:after="0"/>
              <w:ind w:left="0" w:right="0" w:hanging="0"/>
              <w:jc w:val="left"/>
              <w:rPr/>
            </w:pPr>
            <w:r>
              <w:rPr/>
              <w:t> </w:t>
            </w:r>
          </w:p>
        </w:tc>
        <w:tc>
          <w:tcPr>
            <w:tcW w:w="162" w:type="dxa"/>
            <w:tcBorders/>
            <w:vAlign w:val="bottom"/>
          </w:tcPr>
          <w:p>
            <w:pPr>
              <w:pStyle w:val="TableContents"/>
              <w:bidi w:val="0"/>
              <w:spacing w:lineRule="auto" w:line="240" w:before="0" w:after="0"/>
              <w:ind w:left="0" w:right="0" w:hanging="0"/>
              <w:jc w:val="left"/>
              <w:rPr/>
            </w:pPr>
            <w:r>
              <w:rPr/>
              <w:t> </w:t>
            </w:r>
          </w:p>
        </w:tc>
        <w:tc>
          <w:tcPr>
            <w:tcW w:w="1072" w:type="dxa"/>
            <w:tcBorders/>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3,753  </w:t>
            </w:r>
          </w:p>
        </w:tc>
        <w:tc>
          <w:tcPr>
            <w:tcW w:w="69" w:type="dxa"/>
            <w:tcBorders/>
            <w:vAlign w:val="bottom"/>
          </w:tcPr>
          <w:p>
            <w:pPr>
              <w:pStyle w:val="TableContents"/>
              <w:bidi w:val="0"/>
              <w:spacing w:lineRule="auto" w:line="240" w:before="0" w:after="0"/>
              <w:ind w:left="0" w:right="0" w:hanging="0"/>
              <w:jc w:val="left"/>
              <w:rPr/>
            </w:pPr>
            <w:r>
              <w:rPr/>
              <w:t> </w:t>
            </w:r>
          </w:p>
        </w:tc>
        <w:tc>
          <w:tcPr>
            <w:tcW w:w="162" w:type="dxa"/>
            <w:tcBorders/>
            <w:vAlign w:val="bottom"/>
          </w:tcPr>
          <w:p>
            <w:pPr>
              <w:pStyle w:val="TableContents"/>
              <w:bidi w:val="0"/>
              <w:spacing w:lineRule="auto" w:line="240" w:before="0" w:after="0"/>
              <w:ind w:left="0" w:right="0" w:hanging="0"/>
              <w:jc w:val="left"/>
              <w:rPr/>
            </w:pPr>
            <w:r>
              <w:rPr/>
              <w:t> </w:t>
            </w:r>
          </w:p>
        </w:tc>
        <w:tc>
          <w:tcPr>
            <w:tcW w:w="1096"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3,510  </w:t>
            </w:r>
          </w:p>
        </w:tc>
      </w:tr>
      <w:tr>
        <w:trPr/>
        <w:tc>
          <w:tcPr>
            <w:tcW w:w="2982" w:type="dxa"/>
            <w:tcBorders/>
            <w:vAlign w:val="bottom"/>
          </w:tcPr>
          <w:p>
            <w:pPr>
              <w:pStyle w:val="TableContents"/>
              <w:bidi w:val="0"/>
              <w:spacing w:lineRule="auto" w:line="240" w:before="0" w:after="0"/>
              <w:ind w:left="360" w:right="0" w:hanging="0"/>
              <w:jc w:val="left"/>
              <w:rPr>
                <w:rFonts w:ascii="Times New Roman" w:hAnsi="Times New Roman"/>
                <w:color w:val="000000"/>
                <w:sz w:val="22"/>
              </w:rPr>
            </w:pPr>
            <w:r>
              <w:rPr>
                <w:rFonts w:ascii="Times New Roman" w:hAnsi="Times New Roman"/>
                <w:color w:val="000000"/>
                <w:sz w:val="22"/>
              </w:rPr>
              <w:t>Legal settlements</w:t>
            </w:r>
          </w:p>
        </w:tc>
        <w:tc>
          <w:tcPr>
            <w:tcW w:w="65" w:type="dxa"/>
            <w:tcBorders/>
            <w:vAlign w:val="bottom"/>
          </w:tcPr>
          <w:p>
            <w:pPr>
              <w:pStyle w:val="TableContents"/>
              <w:bidi w:val="0"/>
              <w:spacing w:lineRule="auto" w:line="240" w:before="0" w:after="0"/>
              <w:ind w:left="0" w:right="0" w:hanging="0"/>
              <w:jc w:val="left"/>
              <w:rPr/>
            </w:pPr>
            <w:r>
              <w:rPr/>
              <w:t> </w:t>
            </w:r>
          </w:p>
        </w:tc>
        <w:tc>
          <w:tcPr>
            <w:tcW w:w="178" w:type="dxa"/>
            <w:tcBorders/>
            <w:vAlign w:val="bottom"/>
          </w:tcPr>
          <w:p>
            <w:pPr>
              <w:pStyle w:val="TableContents"/>
              <w:bidi w:val="0"/>
              <w:spacing w:lineRule="auto" w:line="240" w:before="0" w:after="0"/>
              <w:ind w:left="0" w:right="0" w:hanging="0"/>
              <w:jc w:val="left"/>
              <w:rPr/>
            </w:pPr>
            <w:r>
              <w:rPr/>
              <w:t> </w:t>
            </w:r>
          </w:p>
        </w:tc>
        <w:tc>
          <w:tcPr>
            <w:tcW w:w="1020" w:type="dxa"/>
            <w:tcBorders/>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548  </w:t>
            </w:r>
          </w:p>
        </w:tc>
        <w:tc>
          <w:tcPr>
            <w:tcW w:w="76" w:type="dxa"/>
            <w:tcBorders/>
            <w:vAlign w:val="bottom"/>
          </w:tcPr>
          <w:p>
            <w:pPr>
              <w:pStyle w:val="TableContents"/>
              <w:bidi w:val="0"/>
              <w:spacing w:lineRule="auto" w:line="240" w:before="0" w:after="0"/>
              <w:ind w:left="0" w:right="0" w:hanging="0"/>
              <w:jc w:val="left"/>
              <w:rPr/>
            </w:pPr>
            <w:r>
              <w:rPr/>
              <w:t> </w:t>
            </w:r>
          </w:p>
        </w:tc>
        <w:tc>
          <w:tcPr>
            <w:tcW w:w="178" w:type="dxa"/>
            <w:tcBorders/>
            <w:vAlign w:val="bottom"/>
          </w:tcPr>
          <w:p>
            <w:pPr>
              <w:pStyle w:val="TableContents"/>
              <w:bidi w:val="0"/>
              <w:spacing w:lineRule="auto" w:line="240" w:before="0" w:after="0"/>
              <w:ind w:left="0" w:right="0" w:hanging="0"/>
              <w:jc w:val="left"/>
              <w:rPr/>
            </w:pPr>
            <w:r>
              <w:rPr/>
              <w:t> </w:t>
            </w:r>
          </w:p>
        </w:tc>
        <w:tc>
          <w:tcPr>
            <w:tcW w:w="1020"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5" w:type="dxa"/>
            <w:tcBorders/>
            <w:vAlign w:val="bottom"/>
          </w:tcPr>
          <w:p>
            <w:pPr>
              <w:pStyle w:val="TableContents"/>
              <w:bidi w:val="0"/>
              <w:spacing w:lineRule="auto" w:line="240" w:before="0" w:after="0"/>
              <w:ind w:left="0" w:right="0" w:hanging="0"/>
              <w:jc w:val="left"/>
              <w:rPr/>
            </w:pPr>
            <w:r>
              <w:rPr/>
              <w:t> </w:t>
            </w:r>
          </w:p>
        </w:tc>
        <w:tc>
          <w:tcPr>
            <w:tcW w:w="162" w:type="dxa"/>
            <w:tcBorders/>
            <w:vAlign w:val="bottom"/>
          </w:tcPr>
          <w:p>
            <w:pPr>
              <w:pStyle w:val="TableContents"/>
              <w:bidi w:val="0"/>
              <w:spacing w:lineRule="auto" w:line="240" w:before="0" w:after="0"/>
              <w:ind w:left="0" w:right="0" w:hanging="0"/>
              <w:jc w:val="left"/>
              <w:rPr/>
            </w:pPr>
            <w:r>
              <w:rPr/>
              <w:t> </w:t>
            </w:r>
          </w:p>
        </w:tc>
        <w:tc>
          <w:tcPr>
            <w:tcW w:w="1072" w:type="dxa"/>
            <w:tcBorders/>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548  </w:t>
            </w:r>
          </w:p>
        </w:tc>
        <w:tc>
          <w:tcPr>
            <w:tcW w:w="69" w:type="dxa"/>
            <w:tcBorders/>
            <w:vAlign w:val="bottom"/>
          </w:tcPr>
          <w:p>
            <w:pPr>
              <w:pStyle w:val="TableContents"/>
              <w:bidi w:val="0"/>
              <w:spacing w:lineRule="auto" w:line="240" w:before="0" w:after="0"/>
              <w:ind w:left="0" w:right="0" w:hanging="0"/>
              <w:jc w:val="left"/>
              <w:rPr/>
            </w:pPr>
            <w:r>
              <w:rPr/>
              <w:t> </w:t>
            </w:r>
          </w:p>
        </w:tc>
        <w:tc>
          <w:tcPr>
            <w:tcW w:w="162" w:type="dxa"/>
            <w:tcBorders/>
            <w:vAlign w:val="bottom"/>
          </w:tcPr>
          <w:p>
            <w:pPr>
              <w:pStyle w:val="TableContents"/>
              <w:bidi w:val="0"/>
              <w:spacing w:lineRule="auto" w:line="240" w:before="0" w:after="0"/>
              <w:ind w:left="0" w:right="0" w:hanging="0"/>
              <w:jc w:val="left"/>
              <w:rPr/>
            </w:pPr>
            <w:r>
              <w:rPr/>
              <w:t> </w:t>
            </w:r>
          </w:p>
        </w:tc>
        <w:tc>
          <w:tcPr>
            <w:tcW w:w="1096"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r>
      <w:tr>
        <w:trPr/>
        <w:tc>
          <w:tcPr>
            <w:tcW w:w="2982" w:type="dxa"/>
            <w:tcBorders/>
            <w:vAlign w:val="bottom"/>
          </w:tcPr>
          <w:p>
            <w:pPr>
              <w:pStyle w:val="TableContents"/>
              <w:bidi w:val="0"/>
              <w:spacing w:lineRule="auto" w:line="240" w:before="0" w:after="0"/>
              <w:ind w:left="360" w:right="0" w:hanging="0"/>
              <w:jc w:val="left"/>
              <w:rPr>
                <w:rFonts w:ascii="Times New Roman" w:hAnsi="Times New Roman"/>
                <w:color w:val="000000"/>
                <w:sz w:val="22"/>
              </w:rPr>
            </w:pPr>
            <w:r>
              <w:rPr>
                <w:rFonts w:ascii="Times New Roman" w:hAnsi="Times New Roman"/>
                <w:color w:val="000000"/>
                <w:sz w:val="22"/>
              </w:rPr>
              <w:t>Acquisition expense</w:t>
            </w:r>
          </w:p>
        </w:tc>
        <w:tc>
          <w:tcPr>
            <w:tcW w:w="65" w:type="dxa"/>
            <w:tcBorders/>
            <w:vAlign w:val="bottom"/>
          </w:tcPr>
          <w:p>
            <w:pPr>
              <w:pStyle w:val="TableContents"/>
              <w:bidi w:val="0"/>
              <w:spacing w:lineRule="auto" w:line="240" w:before="0" w:after="0"/>
              <w:ind w:left="0" w:right="0" w:hanging="0"/>
              <w:jc w:val="left"/>
              <w:rPr/>
            </w:pPr>
            <w:r>
              <w:rPr/>
              <w:t> </w:t>
            </w:r>
          </w:p>
        </w:tc>
        <w:tc>
          <w:tcPr>
            <w:tcW w:w="178" w:type="dxa"/>
            <w:tcBorders/>
            <w:vAlign w:val="bottom"/>
          </w:tcPr>
          <w:p>
            <w:pPr>
              <w:pStyle w:val="TableContents"/>
              <w:bidi w:val="0"/>
              <w:spacing w:lineRule="auto" w:line="240" w:before="0" w:after="0"/>
              <w:ind w:left="0" w:right="0" w:hanging="0"/>
              <w:jc w:val="left"/>
              <w:rPr/>
            </w:pPr>
            <w:r>
              <w:rPr/>
              <w:t> </w:t>
            </w:r>
          </w:p>
        </w:tc>
        <w:tc>
          <w:tcPr>
            <w:tcW w:w="1020" w:type="dxa"/>
            <w:tcBorders/>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68  </w:t>
            </w:r>
          </w:p>
        </w:tc>
        <w:tc>
          <w:tcPr>
            <w:tcW w:w="76" w:type="dxa"/>
            <w:tcBorders/>
            <w:vAlign w:val="bottom"/>
          </w:tcPr>
          <w:p>
            <w:pPr>
              <w:pStyle w:val="TableContents"/>
              <w:bidi w:val="0"/>
              <w:spacing w:lineRule="auto" w:line="240" w:before="0" w:after="0"/>
              <w:ind w:left="0" w:right="0" w:hanging="0"/>
              <w:jc w:val="left"/>
              <w:rPr/>
            </w:pPr>
            <w:r>
              <w:rPr/>
              <w:t> </w:t>
            </w:r>
          </w:p>
        </w:tc>
        <w:tc>
          <w:tcPr>
            <w:tcW w:w="178" w:type="dxa"/>
            <w:tcBorders/>
            <w:vAlign w:val="bottom"/>
          </w:tcPr>
          <w:p>
            <w:pPr>
              <w:pStyle w:val="TableContents"/>
              <w:bidi w:val="0"/>
              <w:spacing w:lineRule="auto" w:line="240" w:before="0" w:after="0"/>
              <w:ind w:left="0" w:right="0" w:hanging="0"/>
              <w:jc w:val="left"/>
              <w:rPr/>
            </w:pPr>
            <w:r>
              <w:rPr/>
              <w:t> </w:t>
            </w:r>
          </w:p>
        </w:tc>
        <w:tc>
          <w:tcPr>
            <w:tcW w:w="1020"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5" w:type="dxa"/>
            <w:tcBorders/>
            <w:vAlign w:val="bottom"/>
          </w:tcPr>
          <w:p>
            <w:pPr>
              <w:pStyle w:val="TableContents"/>
              <w:bidi w:val="0"/>
              <w:spacing w:lineRule="auto" w:line="240" w:before="0" w:after="0"/>
              <w:ind w:left="0" w:right="0" w:hanging="0"/>
              <w:jc w:val="left"/>
              <w:rPr/>
            </w:pPr>
            <w:r>
              <w:rPr/>
              <w:t> </w:t>
            </w:r>
          </w:p>
        </w:tc>
        <w:tc>
          <w:tcPr>
            <w:tcW w:w="162" w:type="dxa"/>
            <w:tcBorders/>
            <w:vAlign w:val="bottom"/>
          </w:tcPr>
          <w:p>
            <w:pPr>
              <w:pStyle w:val="TableContents"/>
              <w:bidi w:val="0"/>
              <w:spacing w:lineRule="auto" w:line="240" w:before="0" w:after="0"/>
              <w:ind w:left="0" w:right="0" w:hanging="0"/>
              <w:jc w:val="left"/>
              <w:rPr/>
            </w:pPr>
            <w:r>
              <w:rPr/>
              <w:t> </w:t>
            </w:r>
          </w:p>
        </w:tc>
        <w:tc>
          <w:tcPr>
            <w:tcW w:w="1072" w:type="dxa"/>
            <w:tcBorders/>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234  </w:t>
            </w:r>
          </w:p>
        </w:tc>
        <w:tc>
          <w:tcPr>
            <w:tcW w:w="69" w:type="dxa"/>
            <w:tcBorders/>
            <w:vAlign w:val="bottom"/>
          </w:tcPr>
          <w:p>
            <w:pPr>
              <w:pStyle w:val="TableContents"/>
              <w:bidi w:val="0"/>
              <w:spacing w:lineRule="auto" w:line="240" w:before="0" w:after="0"/>
              <w:ind w:left="0" w:right="0" w:hanging="0"/>
              <w:jc w:val="left"/>
              <w:rPr/>
            </w:pPr>
            <w:r>
              <w:rPr/>
              <w:t> </w:t>
            </w:r>
          </w:p>
        </w:tc>
        <w:tc>
          <w:tcPr>
            <w:tcW w:w="162" w:type="dxa"/>
            <w:tcBorders/>
            <w:vAlign w:val="bottom"/>
          </w:tcPr>
          <w:p>
            <w:pPr>
              <w:pStyle w:val="TableContents"/>
              <w:bidi w:val="0"/>
              <w:spacing w:lineRule="auto" w:line="240" w:before="0" w:after="0"/>
              <w:ind w:left="0" w:right="0" w:hanging="0"/>
              <w:jc w:val="left"/>
              <w:rPr/>
            </w:pPr>
            <w:r>
              <w:rPr/>
              <w:t> </w:t>
            </w:r>
          </w:p>
        </w:tc>
        <w:tc>
          <w:tcPr>
            <w:tcW w:w="1096"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r>
      <w:tr>
        <w:trPr/>
        <w:tc>
          <w:tcPr>
            <w:tcW w:w="2982"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Add/(deduct) tax impacts:</w:t>
            </w:r>
          </w:p>
        </w:tc>
        <w:tc>
          <w:tcPr>
            <w:tcW w:w="65" w:type="dxa"/>
            <w:tcBorders/>
            <w:vAlign w:val="bottom"/>
          </w:tcPr>
          <w:p>
            <w:pPr>
              <w:pStyle w:val="TableContents"/>
              <w:bidi w:val="0"/>
              <w:spacing w:lineRule="auto" w:line="240" w:before="0" w:after="0"/>
              <w:ind w:left="0" w:right="0" w:hanging="0"/>
              <w:jc w:val="left"/>
              <w:rPr/>
            </w:pPr>
            <w:r>
              <w:rPr/>
              <w:t> </w:t>
            </w:r>
          </w:p>
        </w:tc>
        <w:tc>
          <w:tcPr>
            <w:tcW w:w="178" w:type="dxa"/>
            <w:tcBorders/>
            <w:vAlign w:val="bottom"/>
          </w:tcPr>
          <w:p>
            <w:pPr>
              <w:pStyle w:val="TableContents"/>
              <w:bidi w:val="0"/>
              <w:spacing w:lineRule="auto" w:line="240" w:before="0" w:after="0"/>
              <w:ind w:left="0" w:right="0" w:hanging="0"/>
              <w:jc w:val="left"/>
              <w:rPr/>
            </w:pPr>
            <w:r>
              <w:rPr/>
              <w:t> </w:t>
            </w:r>
          </w:p>
        </w:tc>
        <w:tc>
          <w:tcPr>
            <w:tcW w:w="1020" w:type="dxa"/>
            <w:tcBorders/>
            <w:vAlign w:val="bottom"/>
          </w:tcPr>
          <w:p>
            <w:pPr>
              <w:pStyle w:val="TableContents"/>
              <w:bidi w:val="0"/>
              <w:spacing w:lineRule="auto" w:line="240" w:before="0" w:after="0"/>
              <w:ind w:left="0" w:right="0" w:hanging="0"/>
              <w:jc w:val="left"/>
              <w:rPr/>
            </w:pPr>
            <w:r>
              <w:rPr/>
              <w:t> </w:t>
            </w:r>
          </w:p>
        </w:tc>
        <w:tc>
          <w:tcPr>
            <w:tcW w:w="76" w:type="dxa"/>
            <w:tcBorders/>
            <w:vAlign w:val="bottom"/>
          </w:tcPr>
          <w:p>
            <w:pPr>
              <w:pStyle w:val="TableContents"/>
              <w:bidi w:val="0"/>
              <w:spacing w:lineRule="auto" w:line="240" w:before="0" w:after="0"/>
              <w:ind w:left="0" w:right="0" w:hanging="0"/>
              <w:jc w:val="left"/>
              <w:rPr/>
            </w:pPr>
            <w:r>
              <w:rPr/>
              <w:t> </w:t>
            </w:r>
          </w:p>
        </w:tc>
        <w:tc>
          <w:tcPr>
            <w:tcW w:w="178" w:type="dxa"/>
            <w:tcBorders/>
            <w:vAlign w:val="bottom"/>
          </w:tcPr>
          <w:p>
            <w:pPr>
              <w:pStyle w:val="TableContents"/>
              <w:bidi w:val="0"/>
              <w:spacing w:lineRule="auto" w:line="240" w:before="0" w:after="0"/>
              <w:ind w:left="0" w:right="0" w:hanging="0"/>
              <w:jc w:val="left"/>
              <w:rPr/>
            </w:pPr>
            <w:r>
              <w:rPr/>
              <w:t> </w:t>
            </w:r>
          </w:p>
        </w:tc>
        <w:tc>
          <w:tcPr>
            <w:tcW w:w="1020" w:type="dxa"/>
            <w:tcBorders/>
            <w:vAlign w:val="bottom"/>
          </w:tcPr>
          <w:p>
            <w:pPr>
              <w:pStyle w:val="TableContents"/>
              <w:bidi w:val="0"/>
              <w:spacing w:lineRule="auto" w:line="240" w:before="0" w:after="0"/>
              <w:ind w:left="0" w:right="0" w:hanging="0"/>
              <w:jc w:val="left"/>
              <w:rPr/>
            </w:pPr>
            <w:r>
              <w:rPr/>
              <w:t> </w:t>
            </w:r>
          </w:p>
        </w:tc>
        <w:tc>
          <w:tcPr>
            <w:tcW w:w="65" w:type="dxa"/>
            <w:tcBorders/>
            <w:vAlign w:val="bottom"/>
          </w:tcPr>
          <w:p>
            <w:pPr>
              <w:pStyle w:val="TableContents"/>
              <w:bidi w:val="0"/>
              <w:spacing w:lineRule="auto" w:line="240" w:before="0" w:after="0"/>
              <w:ind w:left="0" w:right="0" w:hanging="0"/>
              <w:jc w:val="left"/>
              <w:rPr/>
            </w:pPr>
            <w:r>
              <w:rPr/>
              <w:t> </w:t>
            </w:r>
          </w:p>
        </w:tc>
        <w:tc>
          <w:tcPr>
            <w:tcW w:w="162" w:type="dxa"/>
            <w:tcBorders/>
            <w:vAlign w:val="bottom"/>
          </w:tcPr>
          <w:p>
            <w:pPr>
              <w:pStyle w:val="TableContents"/>
              <w:bidi w:val="0"/>
              <w:spacing w:lineRule="auto" w:line="240" w:before="0" w:after="0"/>
              <w:ind w:left="0" w:right="0" w:hanging="0"/>
              <w:jc w:val="left"/>
              <w:rPr/>
            </w:pPr>
            <w:r>
              <w:rPr/>
              <w:t> </w:t>
            </w:r>
          </w:p>
        </w:tc>
        <w:tc>
          <w:tcPr>
            <w:tcW w:w="1072" w:type="dxa"/>
            <w:tcBorders/>
            <w:vAlign w:val="bottom"/>
          </w:tcPr>
          <w:p>
            <w:pPr>
              <w:pStyle w:val="TableContents"/>
              <w:bidi w:val="0"/>
              <w:spacing w:lineRule="auto" w:line="240" w:before="0" w:after="0"/>
              <w:ind w:left="0" w:right="0" w:hanging="0"/>
              <w:jc w:val="left"/>
              <w:rPr/>
            </w:pPr>
            <w:r>
              <w:rPr/>
              <w:t> </w:t>
            </w:r>
          </w:p>
        </w:tc>
        <w:tc>
          <w:tcPr>
            <w:tcW w:w="69" w:type="dxa"/>
            <w:tcBorders/>
            <w:vAlign w:val="bottom"/>
          </w:tcPr>
          <w:p>
            <w:pPr>
              <w:pStyle w:val="TableContents"/>
              <w:bidi w:val="0"/>
              <w:spacing w:lineRule="auto" w:line="240" w:before="0" w:after="0"/>
              <w:ind w:left="0" w:right="0" w:hanging="0"/>
              <w:jc w:val="left"/>
              <w:rPr/>
            </w:pPr>
            <w:r>
              <w:rPr/>
              <w:t> </w:t>
            </w:r>
          </w:p>
        </w:tc>
        <w:tc>
          <w:tcPr>
            <w:tcW w:w="162" w:type="dxa"/>
            <w:tcBorders/>
            <w:vAlign w:val="bottom"/>
          </w:tcPr>
          <w:p>
            <w:pPr>
              <w:pStyle w:val="TableContents"/>
              <w:bidi w:val="0"/>
              <w:spacing w:lineRule="auto" w:line="240" w:before="0" w:after="0"/>
              <w:ind w:left="0" w:right="0" w:hanging="0"/>
              <w:jc w:val="left"/>
              <w:rPr/>
            </w:pPr>
            <w:r>
              <w:rPr/>
              <w:t> </w:t>
            </w:r>
          </w:p>
        </w:tc>
        <w:tc>
          <w:tcPr>
            <w:tcW w:w="1096" w:type="dxa"/>
            <w:tcBorders/>
            <w:vAlign w:val="bottom"/>
          </w:tcPr>
          <w:p>
            <w:pPr>
              <w:pStyle w:val="TableContents"/>
              <w:bidi w:val="0"/>
              <w:spacing w:lineRule="auto" w:line="240" w:before="0" w:after="0"/>
              <w:ind w:left="0" w:right="0" w:hanging="0"/>
              <w:jc w:val="left"/>
              <w:rPr/>
            </w:pPr>
            <w:r>
              <w:rPr/>
              <w:t> </w:t>
            </w:r>
          </w:p>
        </w:tc>
      </w:tr>
      <w:tr>
        <w:trPr/>
        <w:tc>
          <w:tcPr>
            <w:tcW w:w="2982" w:type="dxa"/>
            <w:tcBorders/>
            <w:vAlign w:val="bottom"/>
          </w:tcPr>
          <w:p>
            <w:pPr>
              <w:pStyle w:val="TableContents"/>
              <w:bidi w:val="0"/>
              <w:spacing w:lineRule="auto" w:line="240" w:before="0" w:after="0"/>
              <w:ind w:left="360" w:right="0" w:hanging="0"/>
              <w:jc w:val="left"/>
              <w:rPr>
                <w:rFonts w:ascii="Times New Roman" w:hAnsi="Times New Roman"/>
                <w:color w:val="000000"/>
                <w:sz w:val="22"/>
              </w:rPr>
            </w:pPr>
            <w:r>
              <w:rPr>
                <w:rFonts w:ascii="Times New Roman" w:hAnsi="Times New Roman"/>
                <w:color w:val="000000"/>
                <w:sz w:val="22"/>
              </w:rPr>
              <w:t>Tax impact of the above pre-tax adjustments (1)</w:t>
            </w:r>
          </w:p>
        </w:tc>
        <w:tc>
          <w:tcPr>
            <w:tcW w:w="65" w:type="dxa"/>
            <w:tcBorders/>
            <w:vAlign w:val="bottom"/>
          </w:tcPr>
          <w:p>
            <w:pPr>
              <w:pStyle w:val="TableContents"/>
              <w:bidi w:val="0"/>
              <w:spacing w:lineRule="auto" w:line="240" w:before="0" w:after="0"/>
              <w:ind w:left="0" w:right="0" w:hanging="0"/>
              <w:jc w:val="left"/>
              <w:rPr/>
            </w:pPr>
            <w:r>
              <w:rPr/>
              <w:t> </w:t>
            </w:r>
          </w:p>
        </w:tc>
        <w:tc>
          <w:tcPr>
            <w:tcW w:w="178" w:type="dxa"/>
            <w:tcBorders/>
            <w:vAlign w:val="bottom"/>
          </w:tcPr>
          <w:p>
            <w:pPr>
              <w:pStyle w:val="TableContents"/>
              <w:bidi w:val="0"/>
              <w:spacing w:lineRule="auto" w:line="240" w:before="0" w:after="0"/>
              <w:ind w:left="0" w:right="0" w:hanging="0"/>
              <w:jc w:val="left"/>
              <w:rPr/>
            </w:pPr>
            <w:r>
              <w:rPr/>
              <w:t> </w:t>
            </w:r>
          </w:p>
        </w:tc>
        <w:tc>
          <w:tcPr>
            <w:tcW w:w="1020" w:type="dxa"/>
            <w:tcBorders/>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(2,377) </w:t>
            </w:r>
          </w:p>
        </w:tc>
        <w:tc>
          <w:tcPr>
            <w:tcW w:w="76" w:type="dxa"/>
            <w:tcBorders/>
            <w:vAlign w:val="bottom"/>
          </w:tcPr>
          <w:p>
            <w:pPr>
              <w:pStyle w:val="TableContents"/>
              <w:bidi w:val="0"/>
              <w:spacing w:lineRule="auto" w:line="240" w:before="0" w:after="0"/>
              <w:ind w:left="0" w:right="0" w:hanging="0"/>
              <w:jc w:val="left"/>
              <w:rPr/>
            </w:pPr>
            <w:r>
              <w:rPr/>
              <w:t> </w:t>
            </w:r>
          </w:p>
        </w:tc>
        <w:tc>
          <w:tcPr>
            <w:tcW w:w="178" w:type="dxa"/>
            <w:tcBorders/>
            <w:vAlign w:val="bottom"/>
          </w:tcPr>
          <w:p>
            <w:pPr>
              <w:pStyle w:val="TableContents"/>
              <w:bidi w:val="0"/>
              <w:spacing w:lineRule="auto" w:line="240" w:before="0" w:after="0"/>
              <w:ind w:left="0" w:right="0" w:hanging="0"/>
              <w:jc w:val="left"/>
              <w:rPr/>
            </w:pPr>
            <w:r>
              <w:rPr/>
              <w:t> </w:t>
            </w:r>
          </w:p>
        </w:tc>
        <w:tc>
          <w:tcPr>
            <w:tcW w:w="10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(2,143) </w:t>
            </w:r>
          </w:p>
        </w:tc>
        <w:tc>
          <w:tcPr>
            <w:tcW w:w="65" w:type="dxa"/>
            <w:tcBorders/>
            <w:vAlign w:val="bottom"/>
          </w:tcPr>
          <w:p>
            <w:pPr>
              <w:pStyle w:val="TableContents"/>
              <w:bidi w:val="0"/>
              <w:spacing w:lineRule="auto" w:line="240" w:before="0" w:after="0"/>
              <w:ind w:left="0" w:right="0" w:hanging="0"/>
              <w:jc w:val="left"/>
              <w:rPr/>
            </w:pPr>
            <w:r>
              <w:rPr/>
              <w:t> </w:t>
            </w:r>
          </w:p>
        </w:tc>
        <w:tc>
          <w:tcPr>
            <w:tcW w:w="162" w:type="dxa"/>
            <w:tcBorders/>
            <w:vAlign w:val="bottom"/>
          </w:tcPr>
          <w:p>
            <w:pPr>
              <w:pStyle w:val="TableContents"/>
              <w:bidi w:val="0"/>
              <w:spacing w:lineRule="auto" w:line="240" w:before="0" w:after="0"/>
              <w:ind w:left="0" w:right="0" w:hanging="0"/>
              <w:jc w:val="left"/>
              <w:rPr/>
            </w:pPr>
            <w:r>
              <w:rPr/>
              <w:t> </w:t>
            </w:r>
          </w:p>
        </w:tc>
        <w:tc>
          <w:tcPr>
            <w:tcW w:w="1072" w:type="dxa"/>
            <w:tcBorders/>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(4,626) </w:t>
            </w:r>
          </w:p>
        </w:tc>
        <w:tc>
          <w:tcPr>
            <w:tcW w:w="69" w:type="dxa"/>
            <w:tcBorders/>
            <w:vAlign w:val="bottom"/>
          </w:tcPr>
          <w:p>
            <w:pPr>
              <w:pStyle w:val="TableContents"/>
              <w:bidi w:val="0"/>
              <w:spacing w:lineRule="auto" w:line="240" w:before="0" w:after="0"/>
              <w:ind w:left="0" w:right="0" w:hanging="0"/>
              <w:jc w:val="left"/>
              <w:rPr/>
            </w:pPr>
            <w:r>
              <w:rPr/>
              <w:t> </w:t>
            </w:r>
          </w:p>
        </w:tc>
        <w:tc>
          <w:tcPr>
            <w:tcW w:w="162" w:type="dxa"/>
            <w:tcBorders/>
            <w:vAlign w:val="bottom"/>
          </w:tcPr>
          <w:p>
            <w:pPr>
              <w:pStyle w:val="TableContents"/>
              <w:bidi w:val="0"/>
              <w:spacing w:lineRule="auto" w:line="240" w:before="0" w:after="0"/>
              <w:ind w:left="0" w:right="0" w:hanging="0"/>
              <w:jc w:val="left"/>
              <w:rPr/>
            </w:pPr>
            <w:r>
              <w:rPr/>
              <w:t> </w:t>
            </w:r>
          </w:p>
        </w:tc>
        <w:tc>
          <w:tcPr>
            <w:tcW w:w="1096"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(4,462) </w:t>
            </w:r>
          </w:p>
        </w:tc>
      </w:tr>
      <w:tr>
        <w:trPr/>
        <w:tc>
          <w:tcPr>
            <w:tcW w:w="2982" w:type="dxa"/>
            <w:tcBorders/>
            <w:vAlign w:val="bottom"/>
          </w:tcPr>
          <w:p>
            <w:pPr>
              <w:pStyle w:val="TableContents"/>
              <w:bidi w:val="0"/>
              <w:spacing w:lineRule="auto" w:line="240" w:before="0" w:after="0"/>
              <w:ind w:left="360" w:right="0" w:hanging="0"/>
              <w:jc w:val="left"/>
              <w:rPr>
                <w:rFonts w:ascii="Times New Roman" w:hAnsi="Times New Roman"/>
                <w:color w:val="000000"/>
                <w:sz w:val="22"/>
              </w:rPr>
            </w:pPr>
            <w:r>
              <w:rPr>
                <w:rFonts w:ascii="Times New Roman" w:hAnsi="Times New Roman"/>
                <w:color w:val="000000"/>
                <w:sz w:val="22"/>
              </w:rPr>
              <w:t>Excess tax expenses/(benefits) on stock compensation</w:t>
            </w:r>
          </w:p>
        </w:tc>
        <w:tc>
          <w:tcPr>
            <w:tcW w:w="65" w:type="dxa"/>
            <w:tcBorders/>
            <w:vAlign w:val="bottom"/>
          </w:tcPr>
          <w:p>
            <w:pPr>
              <w:pStyle w:val="TableContents"/>
              <w:bidi w:val="0"/>
              <w:spacing w:lineRule="auto" w:line="240" w:before="0" w:after="0"/>
              <w:ind w:left="0" w:right="0" w:hanging="0"/>
              <w:jc w:val="left"/>
              <w:rPr/>
            </w:pPr>
            <w:r>
              <w:rPr/>
              <w:t> </w:t>
            </w:r>
          </w:p>
        </w:tc>
        <w:tc>
          <w:tcPr>
            <w:tcW w:w="178"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2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445  </w:t>
            </w:r>
          </w:p>
        </w:tc>
        <w:tc>
          <w:tcPr>
            <w:tcW w:w="76" w:type="dxa"/>
            <w:tcBorders/>
            <w:vAlign w:val="bottom"/>
          </w:tcPr>
          <w:p>
            <w:pPr>
              <w:pStyle w:val="TableContents"/>
              <w:bidi w:val="0"/>
              <w:spacing w:lineRule="auto" w:line="240" w:before="0" w:after="0"/>
              <w:ind w:left="0" w:right="0" w:hanging="0"/>
              <w:jc w:val="left"/>
              <w:rPr/>
            </w:pPr>
            <w:r>
              <w:rPr/>
              <w:t> </w:t>
            </w:r>
          </w:p>
        </w:tc>
        <w:tc>
          <w:tcPr>
            <w:tcW w:w="178"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2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(50) </w:t>
            </w:r>
          </w:p>
        </w:tc>
        <w:tc>
          <w:tcPr>
            <w:tcW w:w="65" w:type="dxa"/>
            <w:tcBorders/>
            <w:vAlign w:val="bottom"/>
          </w:tcPr>
          <w:p>
            <w:pPr>
              <w:pStyle w:val="TableContents"/>
              <w:bidi w:val="0"/>
              <w:spacing w:lineRule="auto" w:line="240" w:before="0" w:after="0"/>
              <w:ind w:left="0" w:right="0" w:hanging="0"/>
              <w:jc w:val="left"/>
              <w:rPr/>
            </w:pPr>
            <w:r>
              <w:rPr/>
              <w:t> </w:t>
            </w:r>
          </w:p>
        </w:tc>
        <w:tc>
          <w:tcPr>
            <w:tcW w:w="162"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7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501  </w:t>
            </w:r>
          </w:p>
        </w:tc>
        <w:tc>
          <w:tcPr>
            <w:tcW w:w="69" w:type="dxa"/>
            <w:tcBorders/>
            <w:vAlign w:val="bottom"/>
          </w:tcPr>
          <w:p>
            <w:pPr>
              <w:pStyle w:val="TableContents"/>
              <w:bidi w:val="0"/>
              <w:spacing w:lineRule="auto" w:line="240" w:before="0" w:after="0"/>
              <w:ind w:left="0" w:right="0" w:hanging="0"/>
              <w:jc w:val="left"/>
              <w:rPr/>
            </w:pPr>
            <w:r>
              <w:rPr/>
              <w:t> </w:t>
            </w:r>
          </w:p>
        </w:tc>
        <w:tc>
          <w:tcPr>
            <w:tcW w:w="162"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96"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(513) </w:t>
            </w:r>
          </w:p>
        </w:tc>
      </w:tr>
      <w:tr>
        <w:trPr/>
        <w:tc>
          <w:tcPr>
            <w:tcW w:w="2982"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Adjusted net income</w:t>
            </w:r>
          </w:p>
        </w:tc>
        <w:tc>
          <w:tcPr>
            <w:tcW w:w="65" w:type="dxa"/>
            <w:tcBorders/>
            <w:vAlign w:val="bottom"/>
          </w:tcPr>
          <w:p>
            <w:pPr>
              <w:pStyle w:val="TableContents"/>
              <w:bidi w:val="0"/>
              <w:spacing w:lineRule="auto" w:line="240" w:before="0" w:after="0"/>
              <w:ind w:left="0" w:right="0" w:hanging="0"/>
              <w:jc w:val="left"/>
              <w:rPr/>
            </w:pPr>
            <w:r>
              <w:rPr/>
              <w:t> </w:t>
            </w:r>
          </w:p>
        </w:tc>
        <w:tc>
          <w:tcPr>
            <w:tcW w:w="178"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b/>
                <w:color w:val="000000"/>
                <w:sz w:val="22"/>
              </w:rPr>
            </w:pPr>
            <w:r>
              <w:rPr>
                <w:rFonts w:ascii="Times New Roman" w:hAnsi="Times New Roman"/>
                <w:b/>
                <w:color w:val="000000"/>
                <w:sz w:val="22"/>
              </w:rPr>
              <w:t>$</w:t>
            </w:r>
          </w:p>
        </w:tc>
        <w:tc>
          <w:tcPr>
            <w:tcW w:w="1020"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80,039  </w:t>
            </w:r>
          </w:p>
        </w:tc>
        <w:tc>
          <w:tcPr>
            <w:tcW w:w="76" w:type="dxa"/>
            <w:tcBorders/>
            <w:vAlign w:val="bottom"/>
          </w:tcPr>
          <w:p>
            <w:pPr>
              <w:pStyle w:val="TableContents"/>
              <w:bidi w:val="0"/>
              <w:spacing w:lineRule="auto" w:line="240" w:before="0" w:after="0"/>
              <w:ind w:left="0" w:right="0" w:hanging="0"/>
              <w:jc w:val="left"/>
              <w:rPr/>
            </w:pPr>
            <w:r>
              <w:rPr/>
              <w:t> </w:t>
            </w:r>
          </w:p>
        </w:tc>
        <w:tc>
          <w:tcPr>
            <w:tcW w:w="178"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020"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62,721  </w:t>
            </w:r>
          </w:p>
        </w:tc>
        <w:tc>
          <w:tcPr>
            <w:tcW w:w="65" w:type="dxa"/>
            <w:tcBorders/>
            <w:vAlign w:val="bottom"/>
          </w:tcPr>
          <w:p>
            <w:pPr>
              <w:pStyle w:val="TableContents"/>
              <w:bidi w:val="0"/>
              <w:spacing w:lineRule="auto" w:line="240" w:before="0" w:after="0"/>
              <w:ind w:left="0" w:right="0" w:hanging="0"/>
              <w:jc w:val="left"/>
              <w:rPr/>
            </w:pPr>
            <w:r>
              <w:rPr/>
              <w:t> </w:t>
            </w:r>
          </w:p>
        </w:tc>
        <w:tc>
          <w:tcPr>
            <w:tcW w:w="162"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b/>
                <w:color w:val="000000"/>
                <w:sz w:val="22"/>
              </w:rPr>
            </w:pPr>
            <w:r>
              <w:rPr>
                <w:rFonts w:ascii="Times New Roman" w:hAnsi="Times New Roman"/>
                <w:b/>
                <w:color w:val="000000"/>
                <w:sz w:val="22"/>
              </w:rPr>
              <w:t>$</w:t>
            </w:r>
          </w:p>
        </w:tc>
        <w:tc>
          <w:tcPr>
            <w:tcW w:w="107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157,421  </w:t>
            </w:r>
          </w:p>
        </w:tc>
        <w:tc>
          <w:tcPr>
            <w:tcW w:w="69" w:type="dxa"/>
            <w:tcBorders/>
            <w:vAlign w:val="bottom"/>
          </w:tcPr>
          <w:p>
            <w:pPr>
              <w:pStyle w:val="TableContents"/>
              <w:bidi w:val="0"/>
              <w:spacing w:lineRule="auto" w:line="240" w:before="0" w:after="0"/>
              <w:ind w:left="0" w:right="0" w:hanging="0"/>
              <w:jc w:val="left"/>
              <w:rPr/>
            </w:pPr>
            <w:r>
              <w:rPr/>
              <w:t> </w:t>
            </w:r>
          </w:p>
        </w:tc>
        <w:tc>
          <w:tcPr>
            <w:tcW w:w="162"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096"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145,796  </w:t>
            </w:r>
          </w:p>
        </w:tc>
      </w:tr>
      <w:tr>
        <w:trPr/>
        <w:tc>
          <w:tcPr>
            <w:tcW w:w="2982" w:type="dxa"/>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tc>
        <w:tc>
          <w:tcPr>
            <w:tcW w:w="65" w:type="dxa"/>
            <w:tcBorders/>
            <w:vAlign w:val="bottom"/>
          </w:tcPr>
          <w:p>
            <w:pPr>
              <w:pStyle w:val="TableContents"/>
              <w:bidi w:val="0"/>
              <w:spacing w:lineRule="auto" w:line="240" w:before="0" w:after="0"/>
              <w:ind w:left="0" w:right="0" w:hanging="0"/>
              <w:jc w:val="left"/>
              <w:rPr/>
            </w:pPr>
            <w:r>
              <w:rPr/>
              <w:t> </w:t>
            </w:r>
          </w:p>
        </w:tc>
        <w:tc>
          <w:tcPr>
            <w:tcW w:w="178"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2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76" w:type="dxa"/>
            <w:tcBorders/>
            <w:vAlign w:val="bottom"/>
          </w:tcPr>
          <w:p>
            <w:pPr>
              <w:pStyle w:val="TableContents"/>
              <w:bidi w:val="0"/>
              <w:spacing w:lineRule="auto" w:line="240" w:before="0" w:after="0"/>
              <w:ind w:left="0" w:right="0" w:hanging="0"/>
              <w:jc w:val="left"/>
              <w:rPr/>
            </w:pPr>
            <w:r>
              <w:rPr/>
              <w:t> </w:t>
            </w:r>
          </w:p>
        </w:tc>
        <w:tc>
          <w:tcPr>
            <w:tcW w:w="178"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2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5" w:type="dxa"/>
            <w:tcBorders/>
            <w:vAlign w:val="bottom"/>
          </w:tcPr>
          <w:p>
            <w:pPr>
              <w:pStyle w:val="TableContents"/>
              <w:bidi w:val="0"/>
              <w:spacing w:lineRule="auto" w:line="240" w:before="0" w:after="0"/>
              <w:ind w:left="0" w:right="0" w:hanging="0"/>
              <w:jc w:val="left"/>
              <w:rPr/>
            </w:pPr>
            <w:r>
              <w:rPr/>
              <w:t> </w:t>
            </w:r>
          </w:p>
        </w:tc>
        <w:tc>
          <w:tcPr>
            <w:tcW w:w="16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7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9" w:type="dxa"/>
            <w:tcBorders/>
            <w:vAlign w:val="bottom"/>
          </w:tcPr>
          <w:p>
            <w:pPr>
              <w:pStyle w:val="TableContents"/>
              <w:bidi w:val="0"/>
              <w:spacing w:lineRule="auto" w:line="240" w:before="0" w:after="0"/>
              <w:ind w:left="0" w:right="0" w:hanging="0"/>
              <w:jc w:val="left"/>
              <w:rPr/>
            </w:pPr>
            <w:r>
              <w:rPr/>
              <w:t> </w:t>
            </w:r>
          </w:p>
        </w:tc>
        <w:tc>
          <w:tcPr>
            <w:tcW w:w="16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6"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2982"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Diluted Earnings Per Share As Reported</w:t>
            </w:r>
          </w:p>
        </w:tc>
        <w:tc>
          <w:tcPr>
            <w:tcW w:w="65" w:type="dxa"/>
            <w:tcBorders/>
            <w:vAlign w:val="bottom"/>
          </w:tcPr>
          <w:p>
            <w:pPr>
              <w:pStyle w:val="TableContents"/>
              <w:bidi w:val="0"/>
              <w:spacing w:lineRule="auto" w:line="240" w:before="0" w:after="0"/>
              <w:ind w:left="0" w:right="0" w:hanging="0"/>
              <w:jc w:val="left"/>
              <w:rPr/>
            </w:pPr>
            <w:r>
              <w:rPr/>
              <w:t> </w:t>
            </w:r>
          </w:p>
        </w:tc>
        <w:tc>
          <w:tcPr>
            <w:tcW w:w="178" w:type="dxa"/>
            <w:tcBorders/>
            <w:vAlign w:val="bottom"/>
          </w:tcPr>
          <w:p>
            <w:pPr>
              <w:pStyle w:val="TableContents"/>
              <w:bidi w:val="0"/>
              <w:spacing w:lineRule="auto" w:line="240" w:before="0" w:after="0"/>
              <w:ind w:left="0" w:right="0" w:hanging="0"/>
              <w:jc w:val="left"/>
              <w:rPr/>
            </w:pPr>
            <w:r>
              <w:rPr/>
              <w:t> </w:t>
            </w:r>
          </w:p>
        </w:tc>
        <w:tc>
          <w:tcPr>
            <w:tcW w:w="1020" w:type="dxa"/>
            <w:tcBorders/>
            <w:vAlign w:val="bottom"/>
          </w:tcPr>
          <w:p>
            <w:pPr>
              <w:pStyle w:val="TableContents"/>
              <w:bidi w:val="0"/>
              <w:spacing w:lineRule="auto" w:line="240" w:before="0" w:after="0"/>
              <w:ind w:left="0" w:right="0" w:hanging="0"/>
              <w:jc w:val="left"/>
              <w:rPr/>
            </w:pPr>
            <w:r>
              <w:rPr/>
              <w:t> </w:t>
            </w:r>
          </w:p>
        </w:tc>
        <w:tc>
          <w:tcPr>
            <w:tcW w:w="76" w:type="dxa"/>
            <w:tcBorders/>
            <w:vAlign w:val="bottom"/>
          </w:tcPr>
          <w:p>
            <w:pPr>
              <w:pStyle w:val="TableContents"/>
              <w:bidi w:val="0"/>
              <w:spacing w:lineRule="auto" w:line="240" w:before="0" w:after="0"/>
              <w:ind w:left="0" w:right="0" w:hanging="0"/>
              <w:jc w:val="left"/>
              <w:rPr/>
            </w:pPr>
            <w:r>
              <w:rPr/>
              <w:t> </w:t>
            </w:r>
          </w:p>
        </w:tc>
        <w:tc>
          <w:tcPr>
            <w:tcW w:w="178" w:type="dxa"/>
            <w:tcBorders/>
            <w:vAlign w:val="bottom"/>
          </w:tcPr>
          <w:p>
            <w:pPr>
              <w:pStyle w:val="TableContents"/>
              <w:bidi w:val="0"/>
              <w:spacing w:lineRule="auto" w:line="240" w:before="0" w:after="0"/>
              <w:ind w:left="0" w:right="0" w:hanging="0"/>
              <w:jc w:val="left"/>
              <w:rPr/>
            </w:pPr>
            <w:r>
              <w:rPr/>
              <w:t> </w:t>
            </w:r>
          </w:p>
        </w:tc>
        <w:tc>
          <w:tcPr>
            <w:tcW w:w="1020" w:type="dxa"/>
            <w:tcBorders/>
            <w:vAlign w:val="bottom"/>
          </w:tcPr>
          <w:p>
            <w:pPr>
              <w:pStyle w:val="TableContents"/>
              <w:bidi w:val="0"/>
              <w:spacing w:lineRule="auto" w:line="240" w:before="0" w:after="0"/>
              <w:ind w:left="0" w:right="0" w:hanging="0"/>
              <w:jc w:val="left"/>
              <w:rPr/>
            </w:pPr>
            <w:r>
              <w:rPr/>
              <w:t> </w:t>
            </w:r>
          </w:p>
        </w:tc>
        <w:tc>
          <w:tcPr>
            <w:tcW w:w="65" w:type="dxa"/>
            <w:tcBorders/>
            <w:vAlign w:val="bottom"/>
          </w:tcPr>
          <w:p>
            <w:pPr>
              <w:pStyle w:val="TableContents"/>
              <w:bidi w:val="0"/>
              <w:spacing w:lineRule="auto" w:line="240" w:before="0" w:after="0"/>
              <w:ind w:left="0" w:right="0" w:hanging="0"/>
              <w:jc w:val="left"/>
              <w:rPr/>
            </w:pPr>
            <w:r>
              <w:rPr/>
              <w:t> </w:t>
            </w:r>
          </w:p>
        </w:tc>
        <w:tc>
          <w:tcPr>
            <w:tcW w:w="162" w:type="dxa"/>
            <w:tcBorders/>
            <w:vAlign w:val="bottom"/>
          </w:tcPr>
          <w:p>
            <w:pPr>
              <w:pStyle w:val="TableContents"/>
              <w:bidi w:val="0"/>
              <w:spacing w:lineRule="auto" w:line="240" w:before="0" w:after="0"/>
              <w:ind w:left="0" w:right="0" w:hanging="0"/>
              <w:jc w:val="left"/>
              <w:rPr/>
            </w:pPr>
            <w:r>
              <w:rPr/>
              <w:t> </w:t>
            </w:r>
          </w:p>
        </w:tc>
        <w:tc>
          <w:tcPr>
            <w:tcW w:w="1072" w:type="dxa"/>
            <w:tcBorders/>
            <w:vAlign w:val="bottom"/>
          </w:tcPr>
          <w:p>
            <w:pPr>
              <w:pStyle w:val="TableContents"/>
              <w:bidi w:val="0"/>
              <w:spacing w:lineRule="auto" w:line="240" w:before="0" w:after="0"/>
              <w:ind w:left="0" w:right="0" w:hanging="0"/>
              <w:jc w:val="left"/>
              <w:rPr/>
            </w:pPr>
            <w:r>
              <w:rPr/>
              <w:t> </w:t>
            </w:r>
          </w:p>
        </w:tc>
        <w:tc>
          <w:tcPr>
            <w:tcW w:w="69" w:type="dxa"/>
            <w:tcBorders/>
            <w:vAlign w:val="bottom"/>
          </w:tcPr>
          <w:p>
            <w:pPr>
              <w:pStyle w:val="TableContents"/>
              <w:bidi w:val="0"/>
              <w:spacing w:lineRule="auto" w:line="240" w:before="0" w:after="0"/>
              <w:ind w:left="0" w:right="0" w:hanging="0"/>
              <w:jc w:val="left"/>
              <w:rPr/>
            </w:pPr>
            <w:r>
              <w:rPr/>
              <w:t> </w:t>
            </w:r>
          </w:p>
        </w:tc>
        <w:tc>
          <w:tcPr>
            <w:tcW w:w="162" w:type="dxa"/>
            <w:tcBorders/>
            <w:vAlign w:val="bottom"/>
          </w:tcPr>
          <w:p>
            <w:pPr>
              <w:pStyle w:val="TableContents"/>
              <w:bidi w:val="0"/>
              <w:spacing w:lineRule="auto" w:line="240" w:before="0" w:after="0"/>
              <w:ind w:left="0" w:right="0" w:hanging="0"/>
              <w:jc w:val="left"/>
              <w:rPr/>
            </w:pPr>
            <w:r>
              <w:rPr/>
              <w:t> </w:t>
            </w:r>
          </w:p>
        </w:tc>
        <w:tc>
          <w:tcPr>
            <w:tcW w:w="1096" w:type="dxa"/>
            <w:tcBorders/>
            <w:vAlign w:val="bottom"/>
          </w:tcPr>
          <w:p>
            <w:pPr>
              <w:pStyle w:val="TableContents"/>
              <w:bidi w:val="0"/>
              <w:spacing w:lineRule="auto" w:line="240" w:before="0" w:after="0"/>
              <w:ind w:left="0" w:right="0" w:hanging="0"/>
              <w:jc w:val="left"/>
              <w:rPr/>
            </w:pPr>
            <w:r>
              <w:rPr/>
              <w:t> </w:t>
            </w:r>
          </w:p>
        </w:tc>
      </w:tr>
      <w:tr>
        <w:trPr/>
        <w:tc>
          <w:tcPr>
            <w:tcW w:w="2982" w:type="dxa"/>
            <w:tcBorders/>
            <w:vAlign w:val="bottom"/>
          </w:tcPr>
          <w:p>
            <w:pPr>
              <w:pStyle w:val="TableContents"/>
              <w:bidi w:val="0"/>
              <w:spacing w:lineRule="auto" w:line="240" w:before="0" w:after="0"/>
              <w:ind w:left="360" w:right="0" w:hanging="0"/>
              <w:jc w:val="left"/>
              <w:rPr>
                <w:rFonts w:ascii="Times New Roman" w:hAnsi="Times New Roman"/>
                <w:color w:val="000000"/>
                <w:sz w:val="22"/>
              </w:rPr>
            </w:pPr>
            <w:r>
              <w:rPr>
                <w:rFonts w:ascii="Times New Roman" w:hAnsi="Times New Roman"/>
                <w:color w:val="000000"/>
                <w:sz w:val="22"/>
              </w:rPr>
              <w:t>Net income</w:t>
            </w:r>
          </w:p>
        </w:tc>
        <w:tc>
          <w:tcPr>
            <w:tcW w:w="65" w:type="dxa"/>
            <w:tcBorders/>
            <w:vAlign w:val="bottom"/>
          </w:tcPr>
          <w:p>
            <w:pPr>
              <w:pStyle w:val="TableContents"/>
              <w:bidi w:val="0"/>
              <w:spacing w:lineRule="auto" w:line="240" w:before="0" w:after="0"/>
              <w:ind w:left="0" w:right="0" w:hanging="0"/>
              <w:jc w:val="left"/>
              <w:rPr/>
            </w:pPr>
            <w:r>
              <w:rPr/>
              <w:t> </w:t>
            </w:r>
          </w:p>
        </w:tc>
        <w:tc>
          <w:tcPr>
            <w:tcW w:w="178"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b/>
                <w:color w:val="000000"/>
                <w:sz w:val="22"/>
              </w:rPr>
            </w:pPr>
            <w:r>
              <w:rPr>
                <w:rFonts w:ascii="Times New Roman" w:hAnsi="Times New Roman"/>
                <w:b/>
                <w:color w:val="000000"/>
                <w:sz w:val="22"/>
              </w:rPr>
              <w:t>$</w:t>
            </w:r>
          </w:p>
        </w:tc>
        <w:tc>
          <w:tcPr>
            <w:tcW w:w="1020" w:type="dxa"/>
            <w:tcBorders>
              <w:bottom w:val="double" w:sz="5" w:space="0" w:color="000000"/>
            </w:tcBorders>
            <w:tcMar>
              <w:bottom w:w="28" w:type="dxa"/>
            </w:tcMar>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5.13  </w:t>
            </w:r>
          </w:p>
        </w:tc>
        <w:tc>
          <w:tcPr>
            <w:tcW w:w="76" w:type="dxa"/>
            <w:tcBorders/>
            <w:vAlign w:val="bottom"/>
          </w:tcPr>
          <w:p>
            <w:pPr>
              <w:pStyle w:val="TableContents"/>
              <w:bidi w:val="0"/>
              <w:spacing w:lineRule="auto" w:line="240" w:before="0" w:after="0"/>
              <w:ind w:left="0" w:right="0" w:hanging="0"/>
              <w:jc w:val="left"/>
              <w:rPr/>
            </w:pPr>
            <w:r>
              <w:rPr/>
              <w:t> </w:t>
            </w:r>
          </w:p>
        </w:tc>
        <w:tc>
          <w:tcPr>
            <w:tcW w:w="178"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020" w:type="dxa"/>
            <w:tcBorders>
              <w:bottom w:val="double" w:sz="5"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3.57  </w:t>
            </w:r>
          </w:p>
        </w:tc>
        <w:tc>
          <w:tcPr>
            <w:tcW w:w="65" w:type="dxa"/>
            <w:tcBorders/>
            <w:vAlign w:val="bottom"/>
          </w:tcPr>
          <w:p>
            <w:pPr>
              <w:pStyle w:val="TableContents"/>
              <w:bidi w:val="0"/>
              <w:spacing w:lineRule="auto" w:line="240" w:before="0" w:after="0"/>
              <w:ind w:left="0" w:right="0" w:hanging="0"/>
              <w:jc w:val="left"/>
              <w:rPr/>
            </w:pPr>
            <w:r>
              <w:rPr/>
              <w:t> </w:t>
            </w:r>
          </w:p>
        </w:tc>
        <w:tc>
          <w:tcPr>
            <w:tcW w:w="162"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b/>
                <w:color w:val="000000"/>
                <w:sz w:val="22"/>
              </w:rPr>
            </w:pPr>
            <w:r>
              <w:rPr>
                <w:rFonts w:ascii="Times New Roman" w:hAnsi="Times New Roman"/>
                <w:b/>
                <w:color w:val="000000"/>
                <w:sz w:val="22"/>
              </w:rPr>
              <w:t>$</w:t>
            </w:r>
          </w:p>
        </w:tc>
        <w:tc>
          <w:tcPr>
            <w:tcW w:w="1072" w:type="dxa"/>
            <w:tcBorders>
              <w:bottom w:val="double" w:sz="5" w:space="0" w:color="000000"/>
            </w:tcBorders>
            <w:tcMar>
              <w:bottom w:w="28" w:type="dxa"/>
            </w:tcMar>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9.97  </w:t>
            </w:r>
          </w:p>
        </w:tc>
        <w:tc>
          <w:tcPr>
            <w:tcW w:w="69" w:type="dxa"/>
            <w:tcBorders/>
            <w:vAlign w:val="bottom"/>
          </w:tcPr>
          <w:p>
            <w:pPr>
              <w:pStyle w:val="TableContents"/>
              <w:bidi w:val="0"/>
              <w:spacing w:lineRule="auto" w:line="240" w:before="0" w:after="0"/>
              <w:ind w:left="0" w:right="0" w:hanging="0"/>
              <w:jc w:val="left"/>
              <w:rPr/>
            </w:pPr>
            <w:r>
              <w:rPr/>
              <w:t> </w:t>
            </w:r>
          </w:p>
        </w:tc>
        <w:tc>
          <w:tcPr>
            <w:tcW w:w="162"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096" w:type="dxa"/>
            <w:tcBorders>
              <w:bottom w:val="double" w:sz="5"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8.43  </w:t>
            </w:r>
          </w:p>
        </w:tc>
      </w:tr>
      <w:tr>
        <w:trPr/>
        <w:tc>
          <w:tcPr>
            <w:tcW w:w="2982" w:type="dxa"/>
            <w:tcBorders/>
            <w:vAlign w:val="bottom"/>
          </w:tcPr>
          <w:p>
            <w:pPr>
              <w:pStyle w:val="TableContents"/>
              <w:bidi w:val="0"/>
              <w:spacing w:lineRule="auto" w:line="240" w:before="0" w:after="0"/>
              <w:ind w:left="360" w:right="0" w:hanging="0"/>
              <w:jc w:val="left"/>
              <w:rPr>
                <w:rFonts w:ascii="Times New Roman" w:hAnsi="Times New Roman"/>
                <w:color w:val="000000"/>
                <w:sz w:val="22"/>
              </w:rPr>
            </w:pPr>
            <w:r>
              <w:rPr>
                <w:rFonts w:ascii="Times New Roman" w:hAnsi="Times New Roman"/>
                <w:color w:val="000000"/>
                <w:sz w:val="22"/>
              </w:rPr>
              <w:t>Average number of shares outstanding</w:t>
            </w:r>
          </w:p>
        </w:tc>
        <w:tc>
          <w:tcPr>
            <w:tcW w:w="65" w:type="dxa"/>
            <w:tcBorders/>
            <w:vAlign w:val="bottom"/>
          </w:tcPr>
          <w:p>
            <w:pPr>
              <w:pStyle w:val="TableContents"/>
              <w:bidi w:val="0"/>
              <w:spacing w:lineRule="auto" w:line="240" w:before="0" w:after="0"/>
              <w:ind w:left="0" w:right="0" w:hanging="0"/>
              <w:jc w:val="left"/>
              <w:rPr/>
            </w:pPr>
            <w:r>
              <w:rPr/>
              <w:t> </w:t>
            </w:r>
          </w:p>
        </w:tc>
        <w:tc>
          <w:tcPr>
            <w:tcW w:w="178" w:type="dxa"/>
            <w:tcBorders>
              <w:top w:val="double" w:sz="5"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020"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13,199  </w:t>
            </w:r>
          </w:p>
        </w:tc>
        <w:tc>
          <w:tcPr>
            <w:tcW w:w="76" w:type="dxa"/>
            <w:tcBorders/>
            <w:vAlign w:val="bottom"/>
          </w:tcPr>
          <w:p>
            <w:pPr>
              <w:pStyle w:val="TableContents"/>
              <w:bidi w:val="0"/>
              <w:spacing w:lineRule="auto" w:line="240" w:before="0" w:after="0"/>
              <w:ind w:left="0" w:right="0" w:hanging="0"/>
              <w:jc w:val="left"/>
              <w:rPr/>
            </w:pPr>
            <w:r>
              <w:rPr/>
              <w:t> </w:t>
            </w:r>
          </w:p>
        </w:tc>
        <w:tc>
          <w:tcPr>
            <w:tcW w:w="178" w:type="dxa"/>
            <w:tcBorders>
              <w:top w:val="double" w:sz="5"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020"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14,703  </w:t>
            </w:r>
          </w:p>
        </w:tc>
        <w:tc>
          <w:tcPr>
            <w:tcW w:w="65" w:type="dxa"/>
            <w:tcBorders/>
            <w:vAlign w:val="bottom"/>
          </w:tcPr>
          <w:p>
            <w:pPr>
              <w:pStyle w:val="TableContents"/>
              <w:bidi w:val="0"/>
              <w:spacing w:lineRule="auto" w:line="240" w:before="0" w:after="0"/>
              <w:ind w:left="0" w:right="0" w:hanging="0"/>
              <w:jc w:val="left"/>
              <w:rPr/>
            </w:pPr>
            <w:r>
              <w:rPr/>
              <w:t> </w:t>
            </w:r>
          </w:p>
        </w:tc>
        <w:tc>
          <w:tcPr>
            <w:tcW w:w="162" w:type="dxa"/>
            <w:tcBorders>
              <w:top w:val="double" w:sz="5"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072"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13,442  </w:t>
            </w:r>
          </w:p>
        </w:tc>
        <w:tc>
          <w:tcPr>
            <w:tcW w:w="69" w:type="dxa"/>
            <w:tcBorders/>
            <w:vAlign w:val="bottom"/>
          </w:tcPr>
          <w:p>
            <w:pPr>
              <w:pStyle w:val="TableContents"/>
              <w:bidi w:val="0"/>
              <w:spacing w:lineRule="auto" w:line="240" w:before="0" w:after="0"/>
              <w:ind w:left="0" w:right="0" w:hanging="0"/>
              <w:jc w:val="left"/>
              <w:rPr/>
            </w:pPr>
            <w:r>
              <w:rPr/>
              <w:t> </w:t>
            </w:r>
          </w:p>
        </w:tc>
        <w:tc>
          <w:tcPr>
            <w:tcW w:w="162" w:type="dxa"/>
            <w:tcBorders>
              <w:top w:val="double" w:sz="5"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096"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14,733  </w:t>
            </w:r>
          </w:p>
        </w:tc>
      </w:tr>
      <w:tr>
        <w:trPr/>
        <w:tc>
          <w:tcPr>
            <w:tcW w:w="2982" w:type="dxa"/>
            <w:tcBorders/>
            <w:vAlign w:val="bottom"/>
          </w:tcPr>
          <w:p>
            <w:pPr>
              <w:pStyle w:val="TableContents"/>
              <w:bidi w:val="0"/>
              <w:spacing w:lineRule="auto" w:line="240" w:before="0" w:after="0"/>
              <w:ind w:left="360" w:right="0" w:hanging="0"/>
              <w:jc w:val="left"/>
              <w:rPr>
                <w:rFonts w:cs="Times New Roman"/>
                <w:color w:val="000000"/>
                <w:szCs w:val="22"/>
              </w:rPr>
            </w:pPr>
            <w:r>
              <w:rPr>
                <w:rFonts w:cs="Times New Roman"/>
                <w:color w:val="000000"/>
                <w:szCs w:val="22"/>
              </w:rPr>
              <w:t>﻿</w:t>
            </w:r>
          </w:p>
        </w:tc>
        <w:tc>
          <w:tcPr>
            <w:tcW w:w="65" w:type="dxa"/>
            <w:tcBorders/>
            <w:vAlign w:val="bottom"/>
          </w:tcPr>
          <w:p>
            <w:pPr>
              <w:pStyle w:val="TableContents"/>
              <w:bidi w:val="0"/>
              <w:spacing w:lineRule="auto" w:line="240" w:before="0" w:after="0"/>
              <w:ind w:left="0" w:right="0" w:hanging="0"/>
              <w:jc w:val="left"/>
              <w:rPr/>
            </w:pPr>
            <w:r>
              <w:rPr/>
              <w:t> </w:t>
            </w:r>
          </w:p>
        </w:tc>
        <w:tc>
          <w:tcPr>
            <w:tcW w:w="178"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2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76" w:type="dxa"/>
            <w:tcBorders/>
            <w:vAlign w:val="bottom"/>
          </w:tcPr>
          <w:p>
            <w:pPr>
              <w:pStyle w:val="TableContents"/>
              <w:bidi w:val="0"/>
              <w:spacing w:lineRule="auto" w:line="240" w:before="0" w:after="0"/>
              <w:ind w:left="0" w:right="0" w:hanging="0"/>
              <w:jc w:val="left"/>
              <w:rPr/>
            </w:pPr>
            <w:r>
              <w:rPr/>
              <w:t> </w:t>
            </w:r>
          </w:p>
        </w:tc>
        <w:tc>
          <w:tcPr>
            <w:tcW w:w="178"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2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5" w:type="dxa"/>
            <w:tcBorders/>
            <w:vAlign w:val="bottom"/>
          </w:tcPr>
          <w:p>
            <w:pPr>
              <w:pStyle w:val="TableContents"/>
              <w:bidi w:val="0"/>
              <w:spacing w:lineRule="auto" w:line="240" w:before="0" w:after="0"/>
              <w:ind w:left="0" w:right="0" w:hanging="0"/>
              <w:jc w:val="left"/>
              <w:rPr/>
            </w:pPr>
            <w:r>
              <w:rPr/>
              <w:t> </w:t>
            </w:r>
          </w:p>
        </w:tc>
        <w:tc>
          <w:tcPr>
            <w:tcW w:w="16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7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9" w:type="dxa"/>
            <w:tcBorders/>
            <w:vAlign w:val="bottom"/>
          </w:tcPr>
          <w:p>
            <w:pPr>
              <w:pStyle w:val="TableContents"/>
              <w:bidi w:val="0"/>
              <w:spacing w:lineRule="auto" w:line="240" w:before="0" w:after="0"/>
              <w:ind w:left="0" w:right="0" w:hanging="0"/>
              <w:jc w:val="left"/>
              <w:rPr/>
            </w:pPr>
            <w:r>
              <w:rPr/>
              <w:t> </w:t>
            </w:r>
          </w:p>
        </w:tc>
        <w:tc>
          <w:tcPr>
            <w:tcW w:w="16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6"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2982"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Adjusted Diluted Earnings Per Share</w:t>
            </w:r>
          </w:p>
        </w:tc>
        <w:tc>
          <w:tcPr>
            <w:tcW w:w="65" w:type="dxa"/>
            <w:tcBorders/>
            <w:vAlign w:val="bottom"/>
          </w:tcPr>
          <w:p>
            <w:pPr>
              <w:pStyle w:val="TableContents"/>
              <w:bidi w:val="0"/>
              <w:spacing w:lineRule="auto" w:line="240" w:before="0" w:after="0"/>
              <w:ind w:left="0" w:right="0" w:hanging="0"/>
              <w:jc w:val="left"/>
              <w:rPr/>
            </w:pPr>
            <w:r>
              <w:rPr/>
              <w:t> </w:t>
            </w:r>
          </w:p>
        </w:tc>
        <w:tc>
          <w:tcPr>
            <w:tcW w:w="178" w:type="dxa"/>
            <w:tcBorders/>
            <w:vAlign w:val="bottom"/>
          </w:tcPr>
          <w:p>
            <w:pPr>
              <w:pStyle w:val="TableContents"/>
              <w:bidi w:val="0"/>
              <w:spacing w:lineRule="auto" w:line="240" w:before="0" w:after="0"/>
              <w:ind w:left="0" w:right="0" w:hanging="0"/>
              <w:jc w:val="left"/>
              <w:rPr/>
            </w:pPr>
            <w:r>
              <w:rPr/>
              <w:t> </w:t>
            </w:r>
          </w:p>
        </w:tc>
        <w:tc>
          <w:tcPr>
            <w:tcW w:w="1020" w:type="dxa"/>
            <w:tcBorders/>
            <w:vAlign w:val="bottom"/>
          </w:tcPr>
          <w:p>
            <w:pPr>
              <w:pStyle w:val="TableContents"/>
              <w:bidi w:val="0"/>
              <w:spacing w:lineRule="auto" w:line="240" w:before="0" w:after="0"/>
              <w:ind w:left="0" w:right="0" w:hanging="0"/>
              <w:jc w:val="left"/>
              <w:rPr/>
            </w:pPr>
            <w:r>
              <w:rPr/>
              <w:t> </w:t>
            </w:r>
          </w:p>
        </w:tc>
        <w:tc>
          <w:tcPr>
            <w:tcW w:w="76" w:type="dxa"/>
            <w:tcBorders/>
            <w:vAlign w:val="bottom"/>
          </w:tcPr>
          <w:p>
            <w:pPr>
              <w:pStyle w:val="TableContents"/>
              <w:bidi w:val="0"/>
              <w:spacing w:lineRule="auto" w:line="240" w:before="0" w:after="0"/>
              <w:ind w:left="0" w:right="0" w:hanging="0"/>
              <w:jc w:val="left"/>
              <w:rPr/>
            </w:pPr>
            <w:r>
              <w:rPr/>
              <w:t> </w:t>
            </w:r>
          </w:p>
        </w:tc>
        <w:tc>
          <w:tcPr>
            <w:tcW w:w="178" w:type="dxa"/>
            <w:tcBorders/>
            <w:vAlign w:val="bottom"/>
          </w:tcPr>
          <w:p>
            <w:pPr>
              <w:pStyle w:val="TableContents"/>
              <w:bidi w:val="0"/>
              <w:spacing w:lineRule="auto" w:line="240" w:before="0" w:after="0"/>
              <w:ind w:left="0" w:right="0" w:hanging="0"/>
              <w:jc w:val="left"/>
              <w:rPr/>
            </w:pPr>
            <w:r>
              <w:rPr/>
              <w:t> </w:t>
            </w:r>
          </w:p>
        </w:tc>
        <w:tc>
          <w:tcPr>
            <w:tcW w:w="1020" w:type="dxa"/>
            <w:tcBorders/>
            <w:vAlign w:val="bottom"/>
          </w:tcPr>
          <w:p>
            <w:pPr>
              <w:pStyle w:val="TableContents"/>
              <w:bidi w:val="0"/>
              <w:spacing w:lineRule="auto" w:line="240" w:before="0" w:after="0"/>
              <w:ind w:left="0" w:right="0" w:hanging="0"/>
              <w:jc w:val="left"/>
              <w:rPr/>
            </w:pPr>
            <w:r>
              <w:rPr/>
              <w:t> </w:t>
            </w:r>
          </w:p>
        </w:tc>
        <w:tc>
          <w:tcPr>
            <w:tcW w:w="65" w:type="dxa"/>
            <w:tcBorders/>
            <w:vAlign w:val="bottom"/>
          </w:tcPr>
          <w:p>
            <w:pPr>
              <w:pStyle w:val="TableContents"/>
              <w:bidi w:val="0"/>
              <w:spacing w:lineRule="auto" w:line="240" w:before="0" w:after="0"/>
              <w:ind w:left="0" w:right="0" w:hanging="0"/>
              <w:jc w:val="left"/>
              <w:rPr/>
            </w:pPr>
            <w:r>
              <w:rPr/>
              <w:t> </w:t>
            </w:r>
          </w:p>
        </w:tc>
        <w:tc>
          <w:tcPr>
            <w:tcW w:w="162" w:type="dxa"/>
            <w:tcBorders/>
            <w:vAlign w:val="bottom"/>
          </w:tcPr>
          <w:p>
            <w:pPr>
              <w:pStyle w:val="TableContents"/>
              <w:bidi w:val="0"/>
              <w:spacing w:lineRule="auto" w:line="240" w:before="0" w:after="0"/>
              <w:ind w:left="0" w:right="0" w:hanging="0"/>
              <w:jc w:val="left"/>
              <w:rPr/>
            </w:pPr>
            <w:r>
              <w:rPr/>
              <w:t> </w:t>
            </w:r>
          </w:p>
        </w:tc>
        <w:tc>
          <w:tcPr>
            <w:tcW w:w="1072" w:type="dxa"/>
            <w:tcBorders/>
            <w:vAlign w:val="bottom"/>
          </w:tcPr>
          <w:p>
            <w:pPr>
              <w:pStyle w:val="TableContents"/>
              <w:bidi w:val="0"/>
              <w:spacing w:lineRule="auto" w:line="240" w:before="0" w:after="0"/>
              <w:ind w:left="0" w:right="0" w:hanging="0"/>
              <w:jc w:val="left"/>
              <w:rPr/>
            </w:pPr>
            <w:r>
              <w:rPr/>
              <w:t> </w:t>
            </w:r>
          </w:p>
        </w:tc>
        <w:tc>
          <w:tcPr>
            <w:tcW w:w="69" w:type="dxa"/>
            <w:tcBorders/>
            <w:vAlign w:val="bottom"/>
          </w:tcPr>
          <w:p>
            <w:pPr>
              <w:pStyle w:val="TableContents"/>
              <w:bidi w:val="0"/>
              <w:spacing w:lineRule="auto" w:line="240" w:before="0" w:after="0"/>
              <w:ind w:left="0" w:right="0" w:hanging="0"/>
              <w:jc w:val="left"/>
              <w:rPr/>
            </w:pPr>
            <w:r>
              <w:rPr/>
              <w:t> </w:t>
            </w:r>
          </w:p>
        </w:tc>
        <w:tc>
          <w:tcPr>
            <w:tcW w:w="162" w:type="dxa"/>
            <w:tcBorders/>
            <w:vAlign w:val="bottom"/>
          </w:tcPr>
          <w:p>
            <w:pPr>
              <w:pStyle w:val="TableContents"/>
              <w:bidi w:val="0"/>
              <w:spacing w:lineRule="auto" w:line="240" w:before="0" w:after="0"/>
              <w:ind w:left="0" w:right="0" w:hanging="0"/>
              <w:jc w:val="left"/>
              <w:rPr/>
            </w:pPr>
            <w:r>
              <w:rPr/>
              <w:t> </w:t>
            </w:r>
          </w:p>
        </w:tc>
        <w:tc>
          <w:tcPr>
            <w:tcW w:w="1096" w:type="dxa"/>
            <w:tcBorders/>
            <w:vAlign w:val="bottom"/>
          </w:tcPr>
          <w:p>
            <w:pPr>
              <w:pStyle w:val="TableContents"/>
              <w:bidi w:val="0"/>
              <w:spacing w:lineRule="auto" w:line="240" w:before="0" w:after="0"/>
              <w:ind w:left="0" w:right="0" w:hanging="0"/>
              <w:jc w:val="left"/>
              <w:rPr/>
            </w:pPr>
            <w:r>
              <w:rPr/>
              <w:t> </w:t>
            </w:r>
          </w:p>
        </w:tc>
      </w:tr>
      <w:tr>
        <w:trPr/>
        <w:tc>
          <w:tcPr>
            <w:tcW w:w="2982" w:type="dxa"/>
            <w:tcBorders/>
            <w:vAlign w:val="bottom"/>
          </w:tcPr>
          <w:p>
            <w:pPr>
              <w:pStyle w:val="TableContents"/>
              <w:bidi w:val="0"/>
              <w:spacing w:lineRule="auto" w:line="240" w:before="0" w:after="0"/>
              <w:ind w:left="360" w:right="0" w:hanging="0"/>
              <w:jc w:val="left"/>
              <w:rPr>
                <w:rFonts w:ascii="Times New Roman" w:hAnsi="Times New Roman"/>
                <w:color w:val="000000"/>
                <w:sz w:val="22"/>
              </w:rPr>
            </w:pPr>
            <w:r>
              <w:rPr>
                <w:rFonts w:ascii="Times New Roman" w:hAnsi="Times New Roman"/>
                <w:color w:val="000000"/>
                <w:sz w:val="22"/>
              </w:rPr>
              <w:t>Adjusted net income</w:t>
            </w:r>
          </w:p>
        </w:tc>
        <w:tc>
          <w:tcPr>
            <w:tcW w:w="65" w:type="dxa"/>
            <w:tcBorders/>
            <w:vAlign w:val="bottom"/>
          </w:tcPr>
          <w:p>
            <w:pPr>
              <w:pStyle w:val="TableContents"/>
              <w:bidi w:val="0"/>
              <w:spacing w:lineRule="auto" w:line="240" w:before="0" w:after="0"/>
              <w:ind w:left="0" w:right="0" w:hanging="0"/>
              <w:jc w:val="left"/>
              <w:rPr/>
            </w:pPr>
            <w:r>
              <w:rPr/>
              <w:t> </w:t>
            </w:r>
          </w:p>
        </w:tc>
        <w:tc>
          <w:tcPr>
            <w:tcW w:w="178"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b/>
                <w:color w:val="000000"/>
                <w:sz w:val="22"/>
              </w:rPr>
            </w:pPr>
            <w:r>
              <w:rPr>
                <w:rFonts w:ascii="Times New Roman" w:hAnsi="Times New Roman"/>
                <w:b/>
                <w:color w:val="000000"/>
                <w:sz w:val="22"/>
              </w:rPr>
              <w:t>$</w:t>
            </w:r>
          </w:p>
        </w:tc>
        <w:tc>
          <w:tcPr>
            <w:tcW w:w="1020" w:type="dxa"/>
            <w:tcBorders>
              <w:bottom w:val="double" w:sz="5" w:space="0" w:color="000000"/>
            </w:tcBorders>
            <w:tcMar>
              <w:bottom w:w="28" w:type="dxa"/>
            </w:tcMar>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6.06  </w:t>
            </w:r>
          </w:p>
        </w:tc>
        <w:tc>
          <w:tcPr>
            <w:tcW w:w="76" w:type="dxa"/>
            <w:tcBorders/>
            <w:vAlign w:val="bottom"/>
          </w:tcPr>
          <w:p>
            <w:pPr>
              <w:pStyle w:val="TableContents"/>
              <w:bidi w:val="0"/>
              <w:spacing w:lineRule="auto" w:line="240" w:before="0" w:after="0"/>
              <w:ind w:left="0" w:right="0" w:hanging="0"/>
              <w:jc w:val="left"/>
              <w:rPr/>
            </w:pPr>
            <w:r>
              <w:rPr/>
              <w:t> </w:t>
            </w:r>
          </w:p>
        </w:tc>
        <w:tc>
          <w:tcPr>
            <w:tcW w:w="178"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020" w:type="dxa"/>
            <w:tcBorders>
              <w:bottom w:val="double" w:sz="5"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4.27  </w:t>
            </w:r>
          </w:p>
        </w:tc>
        <w:tc>
          <w:tcPr>
            <w:tcW w:w="65" w:type="dxa"/>
            <w:tcBorders/>
            <w:vAlign w:val="bottom"/>
          </w:tcPr>
          <w:p>
            <w:pPr>
              <w:pStyle w:val="TableContents"/>
              <w:bidi w:val="0"/>
              <w:spacing w:lineRule="auto" w:line="240" w:before="0" w:after="0"/>
              <w:ind w:left="0" w:right="0" w:hanging="0"/>
              <w:jc w:val="left"/>
              <w:rPr/>
            </w:pPr>
            <w:r>
              <w:rPr/>
              <w:t> </w:t>
            </w:r>
          </w:p>
        </w:tc>
        <w:tc>
          <w:tcPr>
            <w:tcW w:w="162"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b/>
                <w:color w:val="000000"/>
                <w:sz w:val="22"/>
              </w:rPr>
            </w:pPr>
            <w:r>
              <w:rPr>
                <w:rFonts w:ascii="Times New Roman" w:hAnsi="Times New Roman"/>
                <w:b/>
                <w:color w:val="000000"/>
                <w:sz w:val="22"/>
              </w:rPr>
              <w:t>$</w:t>
            </w:r>
          </w:p>
        </w:tc>
        <w:tc>
          <w:tcPr>
            <w:tcW w:w="1072" w:type="dxa"/>
            <w:tcBorders>
              <w:bottom w:val="double" w:sz="5" w:space="0" w:color="000000"/>
            </w:tcBorders>
            <w:tcMar>
              <w:bottom w:w="28" w:type="dxa"/>
            </w:tcMar>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11.71  </w:t>
            </w:r>
          </w:p>
        </w:tc>
        <w:tc>
          <w:tcPr>
            <w:tcW w:w="69" w:type="dxa"/>
            <w:tcBorders/>
            <w:vAlign w:val="bottom"/>
          </w:tcPr>
          <w:p>
            <w:pPr>
              <w:pStyle w:val="TableContents"/>
              <w:bidi w:val="0"/>
              <w:spacing w:lineRule="auto" w:line="240" w:before="0" w:after="0"/>
              <w:ind w:left="0" w:right="0" w:hanging="0"/>
              <w:jc w:val="left"/>
              <w:rPr/>
            </w:pPr>
            <w:r>
              <w:rPr/>
              <w:t> </w:t>
            </w:r>
          </w:p>
        </w:tc>
        <w:tc>
          <w:tcPr>
            <w:tcW w:w="162"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096" w:type="dxa"/>
            <w:tcBorders>
              <w:bottom w:val="double" w:sz="5"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9.90  </w:t>
            </w:r>
          </w:p>
        </w:tc>
      </w:tr>
      <w:tr>
        <w:trPr/>
        <w:tc>
          <w:tcPr>
            <w:tcW w:w="2982" w:type="dxa"/>
            <w:tcBorders/>
            <w:vAlign w:val="bottom"/>
          </w:tcPr>
          <w:p>
            <w:pPr>
              <w:pStyle w:val="TableContents"/>
              <w:bidi w:val="0"/>
              <w:spacing w:lineRule="auto" w:line="240" w:before="0" w:after="0"/>
              <w:ind w:left="360" w:right="0" w:hanging="0"/>
              <w:jc w:val="left"/>
              <w:rPr>
                <w:rFonts w:ascii="Times New Roman" w:hAnsi="Times New Roman"/>
                <w:color w:val="000000"/>
                <w:sz w:val="22"/>
              </w:rPr>
            </w:pPr>
            <w:r>
              <w:rPr>
                <w:rFonts w:ascii="Times New Roman" w:hAnsi="Times New Roman"/>
                <w:color w:val="000000"/>
                <w:sz w:val="22"/>
              </w:rPr>
              <w:t>Average number of shares outstanding</w:t>
            </w:r>
          </w:p>
        </w:tc>
        <w:tc>
          <w:tcPr>
            <w:tcW w:w="65" w:type="dxa"/>
            <w:tcBorders/>
            <w:vAlign w:val="bottom"/>
          </w:tcPr>
          <w:p>
            <w:pPr>
              <w:pStyle w:val="TableContents"/>
              <w:bidi w:val="0"/>
              <w:spacing w:lineRule="auto" w:line="240" w:before="0" w:after="0"/>
              <w:ind w:left="0" w:right="0" w:hanging="0"/>
              <w:jc w:val="left"/>
              <w:rPr/>
            </w:pPr>
            <w:r>
              <w:rPr/>
              <w:t> </w:t>
            </w:r>
          </w:p>
        </w:tc>
        <w:tc>
          <w:tcPr>
            <w:tcW w:w="178" w:type="dxa"/>
            <w:tcBorders>
              <w:top w:val="double" w:sz="5"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020"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13,199  </w:t>
            </w:r>
          </w:p>
        </w:tc>
        <w:tc>
          <w:tcPr>
            <w:tcW w:w="76" w:type="dxa"/>
            <w:tcBorders/>
            <w:vAlign w:val="bottom"/>
          </w:tcPr>
          <w:p>
            <w:pPr>
              <w:pStyle w:val="TableContents"/>
              <w:bidi w:val="0"/>
              <w:spacing w:lineRule="auto" w:line="240" w:before="0" w:after="0"/>
              <w:ind w:left="0" w:right="0" w:hanging="0"/>
              <w:jc w:val="left"/>
              <w:rPr/>
            </w:pPr>
            <w:r>
              <w:rPr/>
              <w:t> </w:t>
            </w:r>
          </w:p>
        </w:tc>
        <w:tc>
          <w:tcPr>
            <w:tcW w:w="178" w:type="dxa"/>
            <w:tcBorders>
              <w:top w:val="double" w:sz="5"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020"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14,703  </w:t>
            </w:r>
          </w:p>
        </w:tc>
        <w:tc>
          <w:tcPr>
            <w:tcW w:w="65" w:type="dxa"/>
            <w:tcBorders/>
            <w:vAlign w:val="bottom"/>
          </w:tcPr>
          <w:p>
            <w:pPr>
              <w:pStyle w:val="TableContents"/>
              <w:bidi w:val="0"/>
              <w:spacing w:lineRule="auto" w:line="240" w:before="0" w:after="0"/>
              <w:ind w:left="0" w:right="0" w:hanging="0"/>
              <w:jc w:val="left"/>
              <w:rPr/>
            </w:pPr>
            <w:r>
              <w:rPr/>
              <w:t> </w:t>
            </w:r>
          </w:p>
        </w:tc>
        <w:tc>
          <w:tcPr>
            <w:tcW w:w="162" w:type="dxa"/>
            <w:tcBorders>
              <w:top w:val="double" w:sz="5"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072"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13,442  </w:t>
            </w:r>
          </w:p>
        </w:tc>
        <w:tc>
          <w:tcPr>
            <w:tcW w:w="69" w:type="dxa"/>
            <w:tcBorders/>
            <w:vAlign w:val="bottom"/>
          </w:tcPr>
          <w:p>
            <w:pPr>
              <w:pStyle w:val="TableContents"/>
              <w:bidi w:val="0"/>
              <w:spacing w:lineRule="auto" w:line="240" w:before="0" w:after="0"/>
              <w:ind w:left="0" w:right="0" w:hanging="0"/>
              <w:jc w:val="left"/>
              <w:rPr/>
            </w:pPr>
            <w:r>
              <w:rPr/>
              <w:t> </w:t>
            </w:r>
          </w:p>
        </w:tc>
        <w:tc>
          <w:tcPr>
            <w:tcW w:w="162" w:type="dxa"/>
            <w:tcBorders>
              <w:top w:val="double" w:sz="5"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096"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14,733  </w:t>
            </w:r>
          </w:p>
        </w:tc>
      </w:tr>
      <w:tr>
        <w:trPr/>
        <w:tc>
          <w:tcPr>
            <w:tcW w:w="2982" w:type="dxa"/>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tc>
        <w:tc>
          <w:tcPr>
            <w:tcW w:w="65" w:type="dxa"/>
            <w:tcBorders/>
            <w:vAlign w:val="bottom"/>
          </w:tcPr>
          <w:p>
            <w:pPr>
              <w:pStyle w:val="TableContents"/>
              <w:bidi w:val="0"/>
              <w:spacing w:lineRule="auto" w:line="240" w:before="0" w:after="0"/>
              <w:ind w:left="0" w:right="0" w:hanging="0"/>
              <w:jc w:val="left"/>
              <w:rPr/>
            </w:pPr>
            <w:r>
              <w:rPr/>
              <w:t> </w:t>
            </w:r>
          </w:p>
        </w:tc>
        <w:tc>
          <w:tcPr>
            <w:tcW w:w="178"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2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76" w:type="dxa"/>
            <w:tcBorders/>
            <w:vAlign w:val="bottom"/>
          </w:tcPr>
          <w:p>
            <w:pPr>
              <w:pStyle w:val="TableContents"/>
              <w:bidi w:val="0"/>
              <w:spacing w:lineRule="auto" w:line="240" w:before="0" w:after="0"/>
              <w:ind w:left="0" w:right="0" w:hanging="0"/>
              <w:jc w:val="left"/>
              <w:rPr/>
            </w:pPr>
            <w:r>
              <w:rPr/>
              <w:t> </w:t>
            </w:r>
          </w:p>
        </w:tc>
        <w:tc>
          <w:tcPr>
            <w:tcW w:w="178"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2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5" w:type="dxa"/>
            <w:tcBorders/>
            <w:vAlign w:val="bottom"/>
          </w:tcPr>
          <w:p>
            <w:pPr>
              <w:pStyle w:val="TableContents"/>
              <w:bidi w:val="0"/>
              <w:spacing w:lineRule="auto" w:line="240" w:before="0" w:after="0"/>
              <w:ind w:left="0" w:right="0" w:hanging="0"/>
              <w:jc w:val="left"/>
              <w:rPr/>
            </w:pPr>
            <w:r>
              <w:rPr/>
              <w:t> </w:t>
            </w:r>
          </w:p>
        </w:tc>
        <w:tc>
          <w:tcPr>
            <w:tcW w:w="16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7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9" w:type="dxa"/>
            <w:tcBorders/>
            <w:vAlign w:val="bottom"/>
          </w:tcPr>
          <w:p>
            <w:pPr>
              <w:pStyle w:val="TableContents"/>
              <w:bidi w:val="0"/>
              <w:spacing w:lineRule="auto" w:line="240" w:before="0" w:after="0"/>
              <w:ind w:left="0" w:right="0" w:hanging="0"/>
              <w:jc w:val="left"/>
              <w:rPr/>
            </w:pPr>
            <w:r>
              <w:rPr/>
              <w:t> </w:t>
            </w:r>
          </w:p>
        </w:tc>
        <w:tc>
          <w:tcPr>
            <w:tcW w:w="16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6"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8145" w:type="dxa"/>
            <w:gridSpan w:val="13"/>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(1) The tax impact of pre-tax adjustments was calculated using the effective tax rate of the operating unit for which each adjustment is associated.</w:t>
            </w:r>
          </w:p>
        </w:tc>
      </w:tr>
      <w:tr>
        <w:trPr/>
        <w:tc>
          <w:tcPr>
            <w:tcW w:w="2982" w:type="dxa"/>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tc>
        <w:tc>
          <w:tcPr>
            <w:tcW w:w="65" w:type="dxa"/>
            <w:tcBorders/>
            <w:vAlign w:val="bottom"/>
          </w:tcPr>
          <w:p>
            <w:pPr>
              <w:pStyle w:val="TableContents"/>
              <w:bidi w:val="0"/>
              <w:spacing w:lineRule="auto" w:line="240" w:before="0" w:after="0"/>
              <w:ind w:left="0" w:right="0" w:hanging="0"/>
              <w:jc w:val="left"/>
              <w:rPr/>
            </w:pPr>
            <w:r>
              <w:rPr/>
              <w:t> </w:t>
            </w:r>
          </w:p>
        </w:tc>
        <w:tc>
          <w:tcPr>
            <w:tcW w:w="178" w:type="dxa"/>
            <w:tcBorders/>
            <w:vAlign w:val="bottom"/>
          </w:tcPr>
          <w:p>
            <w:pPr>
              <w:pStyle w:val="TableContents"/>
              <w:bidi w:val="0"/>
              <w:spacing w:lineRule="auto" w:line="240" w:before="0" w:after="0"/>
              <w:ind w:left="0" w:right="0" w:hanging="0"/>
              <w:jc w:val="left"/>
              <w:rPr/>
            </w:pPr>
            <w:r>
              <w:rPr/>
              <w:t> </w:t>
            </w:r>
          </w:p>
        </w:tc>
        <w:tc>
          <w:tcPr>
            <w:tcW w:w="1020" w:type="dxa"/>
            <w:tcBorders/>
            <w:vAlign w:val="bottom"/>
          </w:tcPr>
          <w:p>
            <w:pPr>
              <w:pStyle w:val="TableContents"/>
              <w:bidi w:val="0"/>
              <w:spacing w:lineRule="auto" w:line="240" w:before="0" w:after="0"/>
              <w:ind w:left="0" w:right="0" w:hanging="0"/>
              <w:jc w:val="left"/>
              <w:rPr/>
            </w:pPr>
            <w:r>
              <w:rPr/>
              <w:t> </w:t>
            </w:r>
          </w:p>
        </w:tc>
        <w:tc>
          <w:tcPr>
            <w:tcW w:w="76" w:type="dxa"/>
            <w:tcBorders/>
            <w:vAlign w:val="bottom"/>
          </w:tcPr>
          <w:p>
            <w:pPr>
              <w:pStyle w:val="TableContents"/>
              <w:bidi w:val="0"/>
              <w:spacing w:lineRule="auto" w:line="240" w:before="0" w:after="0"/>
              <w:ind w:left="0" w:right="0" w:hanging="0"/>
              <w:jc w:val="left"/>
              <w:rPr/>
            </w:pPr>
            <w:r>
              <w:rPr/>
              <w:t> </w:t>
            </w:r>
          </w:p>
        </w:tc>
        <w:tc>
          <w:tcPr>
            <w:tcW w:w="178" w:type="dxa"/>
            <w:tcBorders/>
            <w:vAlign w:val="bottom"/>
          </w:tcPr>
          <w:p>
            <w:pPr>
              <w:pStyle w:val="TableContents"/>
              <w:bidi w:val="0"/>
              <w:spacing w:lineRule="auto" w:line="240" w:before="0" w:after="0"/>
              <w:ind w:left="0" w:right="0" w:hanging="0"/>
              <w:jc w:val="left"/>
              <w:rPr/>
            </w:pPr>
            <w:r>
              <w:rPr/>
              <w:t> </w:t>
            </w:r>
          </w:p>
        </w:tc>
        <w:tc>
          <w:tcPr>
            <w:tcW w:w="1020" w:type="dxa"/>
            <w:tcBorders/>
            <w:vAlign w:val="bottom"/>
          </w:tcPr>
          <w:p>
            <w:pPr>
              <w:pStyle w:val="TableContents"/>
              <w:bidi w:val="0"/>
              <w:spacing w:lineRule="auto" w:line="240" w:before="0" w:after="0"/>
              <w:ind w:left="0" w:right="0" w:hanging="0"/>
              <w:jc w:val="left"/>
              <w:rPr/>
            </w:pPr>
            <w:r>
              <w:rPr/>
              <w:t> </w:t>
            </w:r>
          </w:p>
        </w:tc>
        <w:tc>
          <w:tcPr>
            <w:tcW w:w="65" w:type="dxa"/>
            <w:tcBorders/>
            <w:vAlign w:val="bottom"/>
          </w:tcPr>
          <w:p>
            <w:pPr>
              <w:pStyle w:val="TableContents"/>
              <w:bidi w:val="0"/>
              <w:spacing w:lineRule="auto" w:line="240" w:before="0" w:after="0"/>
              <w:ind w:left="0" w:right="0" w:hanging="0"/>
              <w:jc w:val="left"/>
              <w:rPr/>
            </w:pPr>
            <w:r>
              <w:rPr/>
              <w:t> </w:t>
            </w:r>
          </w:p>
        </w:tc>
        <w:tc>
          <w:tcPr>
            <w:tcW w:w="162" w:type="dxa"/>
            <w:tcBorders/>
            <w:vAlign w:val="bottom"/>
          </w:tcPr>
          <w:p>
            <w:pPr>
              <w:pStyle w:val="TableContents"/>
              <w:bidi w:val="0"/>
              <w:spacing w:lineRule="auto" w:line="240" w:before="0" w:after="0"/>
              <w:ind w:left="0" w:right="0" w:hanging="0"/>
              <w:jc w:val="left"/>
              <w:rPr/>
            </w:pPr>
            <w:r>
              <w:rPr/>
              <w:t> </w:t>
            </w:r>
          </w:p>
        </w:tc>
        <w:tc>
          <w:tcPr>
            <w:tcW w:w="1072" w:type="dxa"/>
            <w:tcBorders/>
            <w:vAlign w:val="bottom"/>
          </w:tcPr>
          <w:p>
            <w:pPr>
              <w:pStyle w:val="TableContents"/>
              <w:bidi w:val="0"/>
              <w:spacing w:lineRule="auto" w:line="240" w:before="0" w:after="0"/>
              <w:ind w:left="0" w:right="0" w:hanging="0"/>
              <w:jc w:val="left"/>
              <w:rPr/>
            </w:pPr>
            <w:r>
              <w:rPr/>
              <w:t> </w:t>
            </w:r>
          </w:p>
        </w:tc>
        <w:tc>
          <w:tcPr>
            <w:tcW w:w="69" w:type="dxa"/>
            <w:tcBorders/>
            <w:vAlign w:val="bottom"/>
          </w:tcPr>
          <w:p>
            <w:pPr>
              <w:pStyle w:val="TableContents"/>
              <w:bidi w:val="0"/>
              <w:spacing w:lineRule="auto" w:line="240" w:before="0" w:after="0"/>
              <w:ind w:left="0" w:right="0" w:hanging="0"/>
              <w:jc w:val="left"/>
              <w:rPr/>
            </w:pPr>
            <w:r>
              <w:rPr/>
              <w:t> </w:t>
            </w:r>
          </w:p>
        </w:tc>
        <w:tc>
          <w:tcPr>
            <w:tcW w:w="162" w:type="dxa"/>
            <w:tcBorders/>
            <w:vAlign w:val="bottom"/>
          </w:tcPr>
          <w:p>
            <w:pPr>
              <w:pStyle w:val="TableContents"/>
              <w:bidi w:val="0"/>
              <w:spacing w:lineRule="auto" w:line="240" w:before="0" w:after="0"/>
              <w:ind w:left="0" w:right="0" w:hanging="0"/>
              <w:jc w:val="left"/>
              <w:rPr/>
            </w:pPr>
            <w:r>
              <w:rPr/>
              <w:t> </w:t>
            </w:r>
          </w:p>
        </w:tc>
        <w:tc>
          <w:tcPr>
            <w:tcW w:w="1096" w:type="dxa"/>
            <w:tcBorders/>
            <w:vAlign w:val="bottom"/>
          </w:tcPr>
          <w:p>
            <w:pPr>
              <w:pStyle w:val="TableContents"/>
              <w:bidi w:val="0"/>
              <w:spacing w:lineRule="auto" w:line="240" w:before="0" w:after="0"/>
              <w:ind w:left="0" w:right="0" w:hanging="0"/>
              <w:jc w:val="left"/>
              <w:rPr/>
            </w:pPr>
            <w:r>
              <w:rPr/>
              <w:t> </w:t>
            </w:r>
          </w:p>
        </w:tc>
      </w:tr>
      <w:tr>
        <w:trPr/>
        <w:tc>
          <w:tcPr>
            <w:tcW w:w="8145" w:type="dxa"/>
            <w:gridSpan w:val="13"/>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The "Footnotes to Financial Statements" are integral parts of this financial information.</w:t>
            </w:r>
          </w:p>
        </w:tc>
      </w:tr>
    </w:tbl>
    <w:p>
      <w:pPr>
        <w:pStyle w:val="TextBody"/>
        <w:bidi w:val="0"/>
        <w:spacing w:lineRule="auto" w:line="240" w:before="0" w:after="0"/>
        <w:ind w:left="720" w:right="1340" w:hanging="0"/>
        <w:jc w:val="left"/>
        <w:rPr>
          <w:rFonts w:cs="Times New Roman"/>
          <w:szCs w:val="20"/>
        </w:rPr>
      </w:pPr>
      <w:r>
        <w:rPr>
          <w:rFonts w:cs="Times New Roman"/>
          <w:szCs w:val="20"/>
        </w:rPr>
        <w:t xml:space="preserve">﻿ </w:t>
      </w:r>
    </w:p>
    <w:p>
      <w:pPr>
        <w:pStyle w:val="HorizontalLine"/>
        <w:pBdr>
          <w:bottom w:val="double" w:sz="6" w:space="0" w:color="808080"/>
        </w:pBdr>
        <w:bidi w:val="0"/>
        <w:ind w:left="720" w:right="1340" w:hanging="0"/>
        <w:jc w:val="left"/>
        <w:rPr/>
      </w:pPr>
      <w:r>
        <w:rPr/>
      </w:r>
    </w:p>
    <w:p>
      <w:pPr>
        <w:pStyle w:val="TextBody"/>
        <w:bidi w:val="0"/>
        <w:ind w:left="720" w:right="1340" w:hanging="0"/>
        <w:jc w:val="left"/>
        <w:rPr/>
      </w:pPr>
      <w:r>
        <w:rPr/>
        <w:t> </w:t>
      </w:r>
      <w:r>
        <w:br w:type="page"/>
      </w:r>
    </w:p>
    <w:p>
      <w:pPr>
        <w:pStyle w:val="TextBody"/>
        <w:bidi w:val="0"/>
        <w:spacing w:lineRule="auto" w:line="256" w:before="0" w:after="0"/>
        <w:ind w:left="720" w:right="1340" w:hanging="0"/>
        <w:jc w:val="left"/>
        <w:rPr>
          <w:rFonts w:cs="Times New Roman"/>
          <w:szCs w:val="2"/>
        </w:rPr>
      </w:pPr>
      <w:r>
        <w:rPr>
          <w:rFonts w:cs="Times New Roman"/>
          <w:szCs w:val="2"/>
        </w:rPr>
        <w:t xml:space="preserve">﻿ </w:t>
      </w:r>
    </w:p>
    <w:tbl>
      <w:tblPr>
        <w:tblW w:w="8145" w:type="dxa"/>
        <w:jc w:val="left"/>
        <w:tblInd w:w="720" w:type="dxa"/>
        <w:tblLayout w:type="fixed"/>
        <w:tblCellMar>
          <w:top w:w="0" w:type="dxa"/>
          <w:left w:w="0" w:type="dxa"/>
          <w:bottom w:w="0" w:type="dxa"/>
          <w:right w:w="0" w:type="dxa"/>
        </w:tblCellMar>
      </w:tblPr>
      <w:tblGrid>
        <w:gridCol w:w="3361"/>
        <w:gridCol w:w="115"/>
        <w:gridCol w:w="842"/>
        <w:gridCol w:w="187"/>
        <w:gridCol w:w="111"/>
        <w:gridCol w:w="842"/>
        <w:gridCol w:w="155"/>
        <w:gridCol w:w="60"/>
        <w:gridCol w:w="122"/>
        <w:gridCol w:w="924"/>
        <w:gridCol w:w="206"/>
        <w:gridCol w:w="122"/>
        <w:gridCol w:w="924"/>
        <w:gridCol w:w="174"/>
      </w:tblGrid>
      <w:tr>
        <w:trPr/>
        <w:tc>
          <w:tcPr>
            <w:tcW w:w="3361"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lineRule="auto" w:line="240" w:before="0" w:after="0"/>
              <w:ind w:left="0" w:right="0" w:hanging="0"/>
              <w:jc w:val="left"/>
              <w:rPr/>
            </w:pPr>
            <w:r>
              <w:rPr/>
              <w:t>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lineRule="auto" w:line="240" w:before="0" w:after="0"/>
              <w:ind w:left="0" w:right="0" w:hanging="0"/>
              <w:jc w:val="left"/>
              <w:rPr/>
            </w:pPr>
            <w:r>
              <w:rPr/>
              <w:t>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lineRule="auto" w:line="240" w:before="0" w:after="0"/>
              <w:ind w:left="0" w:right="0" w:hanging="0"/>
              <w:jc w:val="left"/>
              <w:rPr/>
            </w:pPr>
            <w:r>
              <w:rPr/>
              <w:t>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lineRule="auto" w:line="240" w:before="0" w:after="0"/>
              <w:ind w:left="0" w:right="0" w:hanging="0"/>
              <w:jc w:val="left"/>
              <w:rPr/>
            </w:pPr>
            <w:r>
              <w:rPr/>
              <w:t>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8145" w:type="dxa"/>
            <w:gridSpan w:val="14"/>
            <w:tcBorders/>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CHEMED CORPORATION AND SUBSIDIARY COMPANIES</w:t>
            </w:r>
          </w:p>
        </w:tc>
      </w:tr>
      <w:tr>
        <w:trPr/>
        <w:tc>
          <w:tcPr>
            <w:tcW w:w="8145" w:type="dxa"/>
            <w:gridSpan w:val="14"/>
            <w:tcBorders/>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OPERATING STATISTICS FOR VITAS SEGMENT</w:t>
            </w:r>
          </w:p>
        </w:tc>
      </w:tr>
      <w:tr>
        <w:trPr/>
        <w:tc>
          <w:tcPr>
            <w:tcW w:w="8145" w:type="dxa"/>
            <w:gridSpan w:val="14"/>
            <w:tcBorders/>
            <w:vAlign w:val="bottom"/>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(unaudited)</w:t>
            </w:r>
          </w:p>
        </w:tc>
      </w:tr>
      <w:tr>
        <w:trPr/>
        <w:tc>
          <w:tcPr>
            <w:tcW w:w="3361" w:type="dxa"/>
            <w:tcBorders/>
            <w:vAlign w:val="bottom"/>
          </w:tcPr>
          <w:p>
            <w:pPr>
              <w:pStyle w:val="TableContents"/>
              <w:bidi w:val="0"/>
              <w:spacing w:lineRule="auto" w:line="240" w:before="0" w:after="0"/>
              <w:ind w:left="0" w:right="0" w:hanging="0"/>
              <w:jc w:val="left"/>
              <w:rPr>
                <w:rFonts w:cs="Times New Roman"/>
                <w:bCs/>
                <w:color w:val="000000"/>
                <w:szCs w:val="16"/>
              </w:rPr>
            </w:pPr>
            <w:r>
              <w:rPr>
                <w:rFonts w:cs="Times New Roman"/>
                <w:bCs/>
                <w:color w:val="000000"/>
                <w:szCs w:val="16"/>
              </w:rPr>
              <w:t>﻿</w:t>
            </w:r>
          </w:p>
        </w:tc>
        <w:tc>
          <w:tcPr>
            <w:tcW w:w="2097" w:type="dxa"/>
            <w:gridSpan w:val="5"/>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Three Months Ended June 30,</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2298" w:type="dxa"/>
            <w:gridSpan w:val="5"/>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For the Six Months Ended June 30,</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OPERATING STATISTICS</w:t>
            </w:r>
          </w:p>
        </w:tc>
        <w:tc>
          <w:tcPr>
            <w:tcW w:w="957"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2026</w:t>
            </w:r>
          </w:p>
        </w:tc>
        <w:tc>
          <w:tcPr>
            <w:tcW w:w="18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53"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2025</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046"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2026</w:t>
            </w:r>
          </w:p>
        </w:tc>
        <w:tc>
          <w:tcPr>
            <w:tcW w:w="206"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46"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2025</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120" w:right="0" w:hanging="0"/>
              <w:jc w:val="left"/>
              <w:rPr>
                <w:rFonts w:ascii="Times New Roman" w:hAnsi="Times New Roman"/>
                <w:color w:val="000000"/>
                <w:sz w:val="16"/>
              </w:rPr>
            </w:pPr>
            <w:r>
              <w:rPr>
                <w:rFonts w:ascii="Times New Roman" w:hAnsi="Times New Roman"/>
                <w:color w:val="000000"/>
                <w:sz w:val="16"/>
              </w:rPr>
              <w:t>Net revenue ($000) (c)</w:t>
            </w:r>
          </w:p>
        </w:tc>
        <w:tc>
          <w:tcPr>
            <w:tcW w:w="11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42"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42"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4"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4"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Homecare</w:t>
            </w:r>
          </w:p>
        </w:tc>
        <w:tc>
          <w:tcPr>
            <w:tcW w:w="115" w:type="dxa"/>
            <w:tcBorders/>
            <w:vAlign w:val="bottom"/>
          </w:tcPr>
          <w:p>
            <w:pPr>
              <w:pStyle w:val="TableContents"/>
              <w:bidi w:val="0"/>
              <w:spacing w:lineRule="auto" w:line="240" w:before="0" w:after="0"/>
              <w:ind w:left="0" w:right="0" w:hanging="0"/>
              <w:jc w:val="left"/>
              <w:rPr>
                <w:rFonts w:ascii="Times New Roman" w:hAnsi="Times New Roman"/>
                <w:b/>
                <w:color w:val="000000"/>
                <w:sz w:val="16"/>
              </w:rPr>
            </w:pPr>
            <w:r>
              <w:rPr>
                <w:rFonts w:ascii="Times New Roman" w:hAnsi="Times New Roman"/>
                <w:b/>
                <w:color w:val="000000"/>
                <w:sz w:val="16"/>
              </w:rPr>
              <w:t>$</w:t>
            </w:r>
          </w:p>
        </w:tc>
        <w:tc>
          <w:tcPr>
            <w:tcW w:w="842"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391,348 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8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358,042 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rFonts w:ascii="Times New Roman" w:hAnsi="Times New Roman"/>
                <w:b/>
                <w:color w:val="000000"/>
                <w:sz w:val="16"/>
              </w:rPr>
            </w:pPr>
            <w:r>
              <w:rPr>
                <w:rFonts w:ascii="Times New Roman" w:hAnsi="Times New Roman"/>
                <w:b/>
                <w:color w:val="000000"/>
                <w:sz w:val="16"/>
              </w:rPr>
              <w:t>$</w:t>
            </w:r>
          </w:p>
        </w:tc>
        <w:tc>
          <w:tcPr>
            <w:tcW w:w="924"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762,438 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924"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709,608 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Inpatient</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35,673 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33,023 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71,599 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67,045 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Continuous care</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19,396 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23,640 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37,530 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48,276 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Other</w:t>
            </w:r>
          </w:p>
        </w:tc>
        <w:tc>
          <w:tcPr>
            <w:tcW w:w="11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4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6,206 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4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5,747 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11,783 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11,092 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600" w:right="0" w:hanging="0"/>
              <w:jc w:val="left"/>
              <w:rPr>
                <w:rFonts w:ascii="Times New Roman" w:hAnsi="Times New Roman"/>
                <w:color w:val="000000"/>
                <w:sz w:val="16"/>
              </w:rPr>
            </w:pPr>
            <w:r>
              <w:rPr>
                <w:rFonts w:ascii="Times New Roman" w:hAnsi="Times New Roman"/>
                <w:color w:val="000000"/>
                <w:sz w:val="16"/>
              </w:rPr>
              <w:t>Subtotal</w:t>
            </w:r>
          </w:p>
        </w:tc>
        <w:tc>
          <w:tcPr>
            <w:tcW w:w="115" w:type="dxa"/>
            <w:tcBorders>
              <w:top w:val="single" w:sz="8" w:space="0" w:color="000000"/>
            </w:tcBorders>
            <w:tcMar>
              <w:top w:w="28" w:type="dxa"/>
            </w:tcMar>
            <w:vAlign w:val="bottom"/>
          </w:tcPr>
          <w:p>
            <w:pPr>
              <w:pStyle w:val="TableContents"/>
              <w:bidi w:val="0"/>
              <w:spacing w:lineRule="auto" w:line="240" w:before="0" w:after="0"/>
              <w:ind w:left="0" w:right="0" w:hanging="0"/>
              <w:jc w:val="left"/>
              <w:rPr>
                <w:rFonts w:ascii="Times New Roman" w:hAnsi="Times New Roman"/>
                <w:b/>
                <w:color w:val="000000"/>
                <w:sz w:val="16"/>
              </w:rPr>
            </w:pPr>
            <w:r>
              <w:rPr>
                <w:rFonts w:ascii="Times New Roman" w:hAnsi="Times New Roman"/>
                <w:b/>
                <w:color w:val="000000"/>
                <w:sz w:val="16"/>
              </w:rPr>
              <w:t>$</w:t>
            </w:r>
          </w:p>
        </w:tc>
        <w:tc>
          <w:tcPr>
            <w:tcW w:w="842"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452,623 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top w:val="single" w:sz="8" w:space="0" w:color="000000"/>
            </w:tcBorders>
            <w:tcMar>
              <w:top w:w="28" w:type="dxa"/>
            </w:tcMar>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842"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420,452 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top w:val="single" w:sz="8" w:space="0" w:color="000000"/>
            </w:tcBorders>
            <w:tcMar>
              <w:top w:w="28" w:type="dxa"/>
            </w:tcMar>
            <w:vAlign w:val="bottom"/>
          </w:tcPr>
          <w:p>
            <w:pPr>
              <w:pStyle w:val="TableContents"/>
              <w:bidi w:val="0"/>
              <w:spacing w:lineRule="auto" w:line="240" w:before="0" w:after="0"/>
              <w:ind w:left="0" w:right="0" w:hanging="0"/>
              <w:jc w:val="left"/>
              <w:rPr>
                <w:rFonts w:ascii="Times New Roman" w:hAnsi="Times New Roman"/>
                <w:b/>
                <w:color w:val="000000"/>
                <w:sz w:val="16"/>
              </w:rPr>
            </w:pPr>
            <w:r>
              <w:rPr>
                <w:rFonts w:ascii="Times New Roman" w:hAnsi="Times New Roman"/>
                <w:b/>
                <w:color w:val="000000"/>
                <w:sz w:val="16"/>
              </w:rPr>
              <w:t>$</w:t>
            </w:r>
          </w:p>
        </w:tc>
        <w:tc>
          <w:tcPr>
            <w:tcW w:w="924"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883,350 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top w:val="single" w:sz="8" w:space="0" w:color="000000"/>
            </w:tcBorders>
            <w:tcMar>
              <w:top w:w="28" w:type="dxa"/>
            </w:tcMar>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924"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836,021 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Room and board, net</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(3,938)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(3,892)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(7,196)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(7,417)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Contractual allowances</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(4,844)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(3,984)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(9,921)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(6,304)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Medicare cap allowance</w:t>
            </w:r>
          </w:p>
        </w:tc>
        <w:tc>
          <w:tcPr>
            <w:tcW w:w="11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4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(500)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4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(16,375)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(2,875)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(18,700)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600" w:right="0" w:hanging="0"/>
              <w:jc w:val="left"/>
              <w:rPr>
                <w:rFonts w:ascii="Times New Roman" w:hAnsi="Times New Roman"/>
                <w:color w:val="000000"/>
                <w:sz w:val="16"/>
              </w:rPr>
            </w:pPr>
            <w:r>
              <w:rPr>
                <w:rFonts w:ascii="Times New Roman" w:hAnsi="Times New Roman"/>
                <w:color w:val="000000"/>
                <w:sz w:val="16"/>
              </w:rPr>
              <w:t>Net Revenue</w:t>
            </w:r>
          </w:p>
        </w:tc>
        <w:tc>
          <w:tcPr>
            <w:tcW w:w="115"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b/>
                <w:color w:val="000000"/>
                <w:sz w:val="16"/>
              </w:rPr>
            </w:pPr>
            <w:r>
              <w:rPr>
                <w:rFonts w:ascii="Times New Roman" w:hAnsi="Times New Roman"/>
                <w:b/>
                <w:color w:val="000000"/>
                <w:sz w:val="16"/>
              </w:rPr>
              <w:t>$</w:t>
            </w:r>
          </w:p>
        </w:tc>
        <w:tc>
          <w:tcPr>
            <w:tcW w:w="84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443,341 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84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396,201 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b/>
                <w:color w:val="000000"/>
                <w:sz w:val="16"/>
              </w:rPr>
            </w:pPr>
            <w:r>
              <w:rPr>
                <w:rFonts w:ascii="Times New Roman" w:hAnsi="Times New Roman"/>
                <w:b/>
                <w:color w:val="000000"/>
                <w:sz w:val="16"/>
              </w:rPr>
              <w:t>$</w:t>
            </w:r>
          </w:p>
        </w:tc>
        <w:tc>
          <w:tcPr>
            <w:tcW w:w="924"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863,358 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924"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803,600 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120" w:right="0" w:hanging="0"/>
              <w:jc w:val="left"/>
              <w:rPr>
                <w:rFonts w:ascii="Times New Roman" w:hAnsi="Times New Roman"/>
                <w:color w:val="000000"/>
                <w:sz w:val="16"/>
              </w:rPr>
            </w:pPr>
            <w:r>
              <w:rPr>
                <w:rFonts w:ascii="Times New Roman" w:hAnsi="Times New Roman"/>
                <w:color w:val="000000"/>
                <w:sz w:val="16"/>
              </w:rPr>
              <w:t>Net revenue as a percent of total before Medicare cap allowance</w:t>
            </w:r>
          </w:p>
        </w:tc>
        <w:tc>
          <w:tcPr>
            <w:tcW w:w="115"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4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4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4"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4"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Homecare</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86.5  </w:t>
            </w:r>
          </w:p>
        </w:tc>
        <w:tc>
          <w:tcPr>
            <w:tcW w:w="187" w:type="dxa"/>
            <w:tcBorders/>
            <w:vAlign w:val="bottom"/>
          </w:tcPr>
          <w:p>
            <w:pPr>
              <w:pStyle w:val="TableContents"/>
              <w:bidi w:val="0"/>
              <w:spacing w:lineRule="auto" w:line="240" w:before="0" w:after="0"/>
              <w:ind w:left="0" w:right="0" w:hanging="0"/>
              <w:jc w:val="left"/>
              <w:rPr>
                <w:rFonts w:ascii="Times New Roman" w:hAnsi="Times New Roman"/>
                <w:b/>
                <w:color w:val="000000"/>
                <w:sz w:val="16"/>
              </w:rPr>
            </w:pPr>
            <w:r>
              <w:rPr>
                <w:rFonts w:ascii="Times New Roman" w:hAnsi="Times New Roman"/>
                <w:b/>
                <w:color w:val="000000"/>
                <w:sz w:val="16"/>
              </w:rPr>
              <w:t>%</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85.2  </w:t>
            </w:r>
          </w:p>
        </w:tc>
        <w:tc>
          <w:tcPr>
            <w:tcW w:w="155"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86.4  </w:t>
            </w:r>
          </w:p>
        </w:tc>
        <w:tc>
          <w:tcPr>
            <w:tcW w:w="206" w:type="dxa"/>
            <w:tcBorders/>
            <w:vAlign w:val="bottom"/>
          </w:tcPr>
          <w:p>
            <w:pPr>
              <w:pStyle w:val="TableContents"/>
              <w:bidi w:val="0"/>
              <w:spacing w:lineRule="auto" w:line="240" w:before="0" w:after="0"/>
              <w:ind w:left="0" w:right="0" w:hanging="0"/>
              <w:jc w:val="left"/>
              <w:rPr>
                <w:rFonts w:ascii="Times New Roman" w:hAnsi="Times New Roman"/>
                <w:b/>
                <w:color w:val="000000"/>
                <w:sz w:val="16"/>
              </w:rPr>
            </w:pPr>
            <w:r>
              <w:rPr>
                <w:rFonts w:ascii="Times New Roman" w:hAnsi="Times New Roman"/>
                <w:b/>
                <w:color w:val="000000"/>
                <w:sz w:val="16"/>
              </w:rPr>
              <w:t>%</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84.9  </w:t>
            </w:r>
          </w:p>
        </w:tc>
        <w:tc>
          <w:tcPr>
            <w:tcW w:w="174"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Inpatient</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7.9 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7.9 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8.1 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8.0 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Continuous care</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4.3 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5.6 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4.2 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5.8 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Other</w:t>
            </w:r>
          </w:p>
        </w:tc>
        <w:tc>
          <w:tcPr>
            <w:tcW w:w="11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4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1.3 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4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1.3 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1.3 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1.3 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600" w:right="0" w:hanging="0"/>
              <w:jc w:val="left"/>
              <w:rPr>
                <w:rFonts w:ascii="Times New Roman" w:hAnsi="Times New Roman"/>
                <w:color w:val="000000"/>
                <w:sz w:val="16"/>
              </w:rPr>
            </w:pPr>
            <w:r>
              <w:rPr>
                <w:rFonts w:ascii="Times New Roman" w:hAnsi="Times New Roman"/>
                <w:color w:val="000000"/>
                <w:sz w:val="16"/>
              </w:rPr>
              <w:t>Subtotal</w:t>
            </w:r>
          </w:p>
        </w:tc>
        <w:tc>
          <w:tcPr>
            <w:tcW w:w="11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42"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100.0 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42"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100.0 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4"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100.0 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4"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100.0 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Room and board, net</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(0.9)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(0.9)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(0.9)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(0.9)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Contractual allowances</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(1.1)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(0.9)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(1.1)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(0.8)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Medicare cap allowance</w:t>
            </w:r>
          </w:p>
        </w:tc>
        <w:tc>
          <w:tcPr>
            <w:tcW w:w="11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4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(0.1)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4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(3.9)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(0.3)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(2.2)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600" w:right="0" w:hanging="0"/>
              <w:jc w:val="left"/>
              <w:rPr>
                <w:rFonts w:ascii="Times New Roman" w:hAnsi="Times New Roman"/>
                <w:color w:val="000000"/>
                <w:sz w:val="16"/>
              </w:rPr>
            </w:pPr>
            <w:r>
              <w:rPr>
                <w:rFonts w:ascii="Times New Roman" w:hAnsi="Times New Roman"/>
                <w:color w:val="000000"/>
                <w:sz w:val="16"/>
              </w:rPr>
              <w:t>Net Revenue</w:t>
            </w:r>
          </w:p>
        </w:tc>
        <w:tc>
          <w:tcPr>
            <w:tcW w:w="115"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84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97.9  </w:t>
            </w:r>
          </w:p>
        </w:tc>
        <w:tc>
          <w:tcPr>
            <w:tcW w:w="187" w:type="dxa"/>
            <w:tcBorders/>
            <w:vAlign w:val="bottom"/>
          </w:tcPr>
          <w:p>
            <w:pPr>
              <w:pStyle w:val="TableContents"/>
              <w:bidi w:val="0"/>
              <w:spacing w:lineRule="auto" w:line="240" w:before="0" w:after="0"/>
              <w:ind w:left="0" w:right="0" w:hanging="0"/>
              <w:jc w:val="left"/>
              <w:rPr>
                <w:rFonts w:ascii="Times New Roman" w:hAnsi="Times New Roman"/>
                <w:b/>
                <w:color w:val="000000"/>
                <w:sz w:val="16"/>
              </w:rPr>
            </w:pPr>
            <w:r>
              <w:rPr>
                <w:rFonts w:ascii="Times New Roman" w:hAnsi="Times New Roman"/>
                <w:b/>
                <w:color w:val="000000"/>
                <w:sz w:val="16"/>
              </w:rPr>
              <w:t>%</w:t>
            </w:r>
          </w:p>
        </w:tc>
        <w:tc>
          <w:tcPr>
            <w:tcW w:w="111"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84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94.3  </w:t>
            </w:r>
          </w:p>
        </w:tc>
        <w:tc>
          <w:tcPr>
            <w:tcW w:w="155"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24"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97.7  </w:t>
            </w:r>
          </w:p>
        </w:tc>
        <w:tc>
          <w:tcPr>
            <w:tcW w:w="206" w:type="dxa"/>
            <w:tcBorders/>
            <w:vAlign w:val="bottom"/>
          </w:tcPr>
          <w:p>
            <w:pPr>
              <w:pStyle w:val="TableContents"/>
              <w:bidi w:val="0"/>
              <w:spacing w:lineRule="auto" w:line="240" w:before="0" w:after="0"/>
              <w:ind w:left="0" w:right="0" w:hanging="0"/>
              <w:jc w:val="left"/>
              <w:rPr>
                <w:rFonts w:ascii="Times New Roman" w:hAnsi="Times New Roman"/>
                <w:b/>
                <w:color w:val="000000"/>
                <w:sz w:val="16"/>
              </w:rPr>
            </w:pPr>
            <w:r>
              <w:rPr>
                <w:rFonts w:ascii="Times New Roman" w:hAnsi="Times New Roman"/>
                <w:b/>
                <w:color w:val="000000"/>
                <w:sz w:val="16"/>
              </w:rPr>
              <w:t>%</w:t>
            </w:r>
          </w:p>
        </w:tc>
        <w:tc>
          <w:tcPr>
            <w:tcW w:w="122"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24"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96.1  </w:t>
            </w:r>
          </w:p>
        </w:tc>
        <w:tc>
          <w:tcPr>
            <w:tcW w:w="174"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r>
      <w:tr>
        <w:trPr/>
        <w:tc>
          <w:tcPr>
            <w:tcW w:w="3361" w:type="dxa"/>
            <w:tcBorders/>
            <w:vAlign w:val="bottom"/>
          </w:tcPr>
          <w:p>
            <w:pPr>
              <w:pStyle w:val="TableContents"/>
              <w:bidi w:val="0"/>
              <w:spacing w:lineRule="auto" w:line="240" w:before="0" w:after="0"/>
              <w:ind w:left="120" w:right="0" w:hanging="0"/>
              <w:jc w:val="left"/>
              <w:rPr>
                <w:rFonts w:ascii="Times New Roman" w:hAnsi="Times New Roman"/>
                <w:color w:val="000000"/>
                <w:sz w:val="16"/>
              </w:rPr>
            </w:pPr>
            <w:r>
              <w:rPr>
                <w:rFonts w:ascii="Times New Roman" w:hAnsi="Times New Roman"/>
                <w:color w:val="000000"/>
                <w:sz w:val="16"/>
              </w:rPr>
              <w:t>Days of care</w:t>
            </w:r>
          </w:p>
        </w:tc>
        <w:tc>
          <w:tcPr>
            <w:tcW w:w="115"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4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4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4"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4"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Homecare</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1,792,360 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1,662,455 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3,483,979 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3,295,024 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Nursing home</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303,053 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307,158 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597,871 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614,266 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Respite</w:t>
            </w:r>
          </w:p>
        </w:tc>
        <w:tc>
          <w:tcPr>
            <w:tcW w:w="11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4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12,307 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4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11,440 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23,182 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21,435 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600" w:right="0" w:hanging="0"/>
              <w:jc w:val="left"/>
              <w:rPr>
                <w:rFonts w:ascii="Times New Roman" w:hAnsi="Times New Roman"/>
                <w:color w:val="000000"/>
                <w:sz w:val="16"/>
              </w:rPr>
            </w:pPr>
            <w:r>
              <w:rPr>
                <w:rFonts w:ascii="Times New Roman" w:hAnsi="Times New Roman"/>
                <w:color w:val="000000"/>
                <w:sz w:val="16"/>
              </w:rPr>
              <w:t>Subtotal routine homecare and respite</w:t>
            </w:r>
          </w:p>
        </w:tc>
        <w:tc>
          <w:tcPr>
            <w:tcW w:w="11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42"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2,107,720 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42"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1,981,053 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4"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4,105,032 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4"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3,930,725 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Inpatient</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29,703 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28,213 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60,177 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57,917 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Continuous care</w:t>
            </w:r>
          </w:p>
        </w:tc>
        <w:tc>
          <w:tcPr>
            <w:tcW w:w="11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4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18,094 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4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21,647 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35,382 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44,267 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600" w:right="0" w:hanging="0"/>
              <w:jc w:val="left"/>
              <w:rPr>
                <w:rFonts w:ascii="Times New Roman" w:hAnsi="Times New Roman"/>
                <w:color w:val="000000"/>
                <w:sz w:val="16"/>
              </w:rPr>
            </w:pPr>
            <w:r>
              <w:rPr>
                <w:rFonts w:ascii="Times New Roman" w:hAnsi="Times New Roman"/>
                <w:color w:val="000000"/>
                <w:sz w:val="16"/>
              </w:rPr>
              <w:t>Total</w:t>
            </w:r>
          </w:p>
        </w:tc>
        <w:tc>
          <w:tcPr>
            <w:tcW w:w="115"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84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2,155,517 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84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2,030,913 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24"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4,200,591 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24"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4,032,909 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600" w:right="0" w:hanging="0"/>
              <w:jc w:val="left"/>
              <w:rPr>
                <w:rFonts w:cs="Times New Roman"/>
                <w:color w:val="000000"/>
                <w:szCs w:val="16"/>
              </w:rPr>
            </w:pPr>
            <w:r>
              <w:rPr>
                <w:rFonts w:cs="Times New Roman"/>
                <w:color w:val="000000"/>
                <w:szCs w:val="16"/>
              </w:rPr>
              <w:t>﻿</w:t>
            </w:r>
          </w:p>
        </w:tc>
        <w:tc>
          <w:tcPr>
            <w:tcW w:w="115"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4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4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4"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4"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120" w:right="0" w:hanging="0"/>
              <w:jc w:val="left"/>
              <w:rPr>
                <w:rFonts w:ascii="Times New Roman" w:hAnsi="Times New Roman"/>
                <w:color w:val="000000"/>
                <w:sz w:val="16"/>
              </w:rPr>
            </w:pPr>
            <w:r>
              <w:rPr>
                <w:rFonts w:ascii="Times New Roman" w:hAnsi="Times New Roman"/>
                <w:color w:val="000000"/>
                <w:sz w:val="16"/>
              </w:rPr>
              <w:t>Number of days in relevant time period</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91 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91 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181 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181 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120" w:right="0" w:hanging="0"/>
              <w:jc w:val="left"/>
              <w:rPr>
                <w:rFonts w:ascii="Times New Roman" w:hAnsi="Times New Roman"/>
                <w:color w:val="000000"/>
                <w:sz w:val="16"/>
              </w:rPr>
            </w:pPr>
            <w:r>
              <w:rPr>
                <w:rFonts w:ascii="Times New Roman" w:hAnsi="Times New Roman"/>
                <w:color w:val="000000"/>
                <w:sz w:val="16"/>
              </w:rPr>
              <w:t>Average daily census ("ADC") (days)</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lineRule="auto" w:line="240" w:before="0" w:after="0"/>
              <w:ind w:left="0" w:right="0" w:hanging="0"/>
              <w:jc w:val="left"/>
              <w:rPr/>
            </w:pPr>
            <w:r>
              <w:rPr/>
              <w:t>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lineRule="auto" w:line="240" w:before="0" w:after="0"/>
              <w:ind w:left="0" w:right="0" w:hanging="0"/>
              <w:jc w:val="left"/>
              <w:rPr/>
            </w:pPr>
            <w:r>
              <w:rPr/>
              <w:t>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lineRule="auto" w:line="240" w:before="0" w:after="0"/>
              <w:ind w:left="0" w:right="0" w:hanging="0"/>
              <w:jc w:val="left"/>
              <w:rPr/>
            </w:pPr>
            <w:r>
              <w:rPr/>
              <w:t>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lineRule="auto" w:line="240" w:before="0" w:after="0"/>
              <w:ind w:left="0" w:right="0" w:hanging="0"/>
              <w:jc w:val="left"/>
              <w:rPr/>
            </w:pPr>
            <w:r>
              <w:rPr/>
              <w:t>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Homecare</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19,697 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18,269 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19,249 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18,205 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Nursing home</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3,330 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3,375 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3,303 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3,394 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Respite</w:t>
            </w:r>
          </w:p>
        </w:tc>
        <w:tc>
          <w:tcPr>
            <w:tcW w:w="11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4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135 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4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126 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128 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118 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600" w:right="0" w:hanging="0"/>
              <w:jc w:val="left"/>
              <w:rPr>
                <w:rFonts w:ascii="Times New Roman" w:hAnsi="Times New Roman"/>
                <w:color w:val="000000"/>
                <w:sz w:val="16"/>
              </w:rPr>
            </w:pPr>
            <w:r>
              <w:rPr>
                <w:rFonts w:ascii="Times New Roman" w:hAnsi="Times New Roman"/>
                <w:color w:val="000000"/>
                <w:sz w:val="16"/>
              </w:rPr>
              <w:t>Subtotal routine homecare and respite</w:t>
            </w:r>
          </w:p>
        </w:tc>
        <w:tc>
          <w:tcPr>
            <w:tcW w:w="11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42"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23,162 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42"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21,770 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4"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22,680 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4"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21,717 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Inpatient</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326 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310 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333 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320 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Continuous care</w:t>
            </w:r>
          </w:p>
        </w:tc>
        <w:tc>
          <w:tcPr>
            <w:tcW w:w="11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4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199 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4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238 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195 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244 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600" w:right="0" w:hanging="0"/>
              <w:jc w:val="left"/>
              <w:rPr>
                <w:rFonts w:ascii="Times New Roman" w:hAnsi="Times New Roman"/>
                <w:color w:val="000000"/>
                <w:sz w:val="16"/>
              </w:rPr>
            </w:pPr>
            <w:r>
              <w:rPr>
                <w:rFonts w:ascii="Times New Roman" w:hAnsi="Times New Roman"/>
                <w:color w:val="000000"/>
                <w:sz w:val="16"/>
              </w:rPr>
              <w:t>Total</w:t>
            </w:r>
          </w:p>
        </w:tc>
        <w:tc>
          <w:tcPr>
            <w:tcW w:w="115"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84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23,687 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84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22,318 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24"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23,208 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24"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22,281 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600" w:right="0" w:hanging="0"/>
              <w:jc w:val="left"/>
              <w:rPr>
                <w:rFonts w:cs="Times New Roman"/>
                <w:color w:val="000000"/>
                <w:szCs w:val="16"/>
              </w:rPr>
            </w:pPr>
            <w:r>
              <w:rPr>
                <w:rFonts w:cs="Times New Roman"/>
                <w:color w:val="000000"/>
                <w:szCs w:val="16"/>
              </w:rPr>
              <w:t>﻿</w:t>
            </w:r>
          </w:p>
        </w:tc>
        <w:tc>
          <w:tcPr>
            <w:tcW w:w="115"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4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4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4"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4"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120" w:right="0" w:hanging="0"/>
              <w:jc w:val="left"/>
              <w:rPr>
                <w:rFonts w:ascii="Times New Roman" w:hAnsi="Times New Roman"/>
                <w:color w:val="000000"/>
                <w:sz w:val="16"/>
              </w:rPr>
            </w:pPr>
            <w:r>
              <w:rPr>
                <w:rFonts w:ascii="Times New Roman" w:hAnsi="Times New Roman"/>
                <w:color w:val="000000"/>
                <w:sz w:val="16"/>
              </w:rPr>
              <w:t>Total Admissions</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19,125 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17,545 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38,519 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35,684 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120" w:right="0" w:hanging="0"/>
              <w:jc w:val="left"/>
              <w:rPr>
                <w:rFonts w:ascii="Times New Roman" w:hAnsi="Times New Roman"/>
                <w:color w:val="000000"/>
                <w:sz w:val="16"/>
              </w:rPr>
            </w:pPr>
            <w:r>
              <w:rPr>
                <w:rFonts w:ascii="Times New Roman" w:hAnsi="Times New Roman"/>
                <w:color w:val="000000"/>
                <w:sz w:val="16"/>
              </w:rPr>
              <w:t>Total Discharges</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18,167 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17,845 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36,704 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35,583 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120" w:right="0" w:hanging="0"/>
              <w:jc w:val="left"/>
              <w:rPr>
                <w:rFonts w:ascii="Times New Roman" w:hAnsi="Times New Roman"/>
                <w:color w:val="000000"/>
                <w:sz w:val="16"/>
              </w:rPr>
            </w:pPr>
            <w:r>
              <w:rPr>
                <w:rFonts w:ascii="Times New Roman" w:hAnsi="Times New Roman"/>
                <w:color w:val="000000"/>
                <w:sz w:val="16"/>
              </w:rPr>
              <w:t>Average length of stay (days)</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101.2 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137.1 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101.9 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127.9 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120" w:right="0" w:hanging="0"/>
              <w:jc w:val="left"/>
              <w:rPr>
                <w:rFonts w:ascii="Times New Roman" w:hAnsi="Times New Roman"/>
                <w:color w:val="000000"/>
                <w:sz w:val="16"/>
              </w:rPr>
            </w:pPr>
            <w:r>
              <w:rPr>
                <w:rFonts w:ascii="Times New Roman" w:hAnsi="Times New Roman"/>
                <w:color w:val="000000"/>
                <w:sz w:val="16"/>
              </w:rPr>
              <w:t>Median length of stay (days)</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16.0 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20.0 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15.0 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18.0 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120" w:right="0" w:hanging="0"/>
              <w:jc w:val="left"/>
              <w:rPr>
                <w:rFonts w:cs="Times New Roman"/>
                <w:color w:val="000000"/>
                <w:szCs w:val="16"/>
              </w:rPr>
            </w:pPr>
            <w:r>
              <w:rPr>
                <w:rFonts w:cs="Times New Roman"/>
                <w:color w:val="000000"/>
                <w:szCs w:val="16"/>
              </w:rPr>
              <w:t>﻿</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lineRule="auto" w:line="240" w:before="0" w:after="0"/>
              <w:ind w:left="0" w:right="0" w:hanging="0"/>
              <w:jc w:val="left"/>
              <w:rPr/>
            </w:pPr>
            <w:r>
              <w:rPr/>
              <w:t>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lineRule="auto" w:line="240" w:before="0" w:after="0"/>
              <w:ind w:left="0" w:right="0" w:hanging="0"/>
              <w:jc w:val="left"/>
              <w:rPr/>
            </w:pPr>
            <w:r>
              <w:rPr/>
              <w:t>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lineRule="auto" w:line="240" w:before="0" w:after="0"/>
              <w:ind w:left="0" w:right="0" w:hanging="0"/>
              <w:jc w:val="left"/>
              <w:rPr/>
            </w:pPr>
            <w:r>
              <w:rPr/>
              <w:t>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lineRule="auto" w:line="240" w:before="0" w:after="0"/>
              <w:ind w:left="0" w:right="0" w:hanging="0"/>
              <w:jc w:val="left"/>
              <w:rPr/>
            </w:pPr>
            <w:r>
              <w:rPr/>
              <w:t>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120" w:right="0" w:hanging="0"/>
              <w:jc w:val="left"/>
              <w:rPr>
                <w:rFonts w:ascii="Times New Roman" w:hAnsi="Times New Roman"/>
                <w:color w:val="000000"/>
                <w:sz w:val="16"/>
              </w:rPr>
            </w:pPr>
            <w:r>
              <w:rPr>
                <w:rFonts w:ascii="Times New Roman" w:hAnsi="Times New Roman"/>
                <w:color w:val="000000"/>
                <w:sz w:val="16"/>
              </w:rPr>
              <w:t>ADC by major diagnosis</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lineRule="auto" w:line="240" w:before="0" w:after="0"/>
              <w:ind w:left="0" w:right="0" w:hanging="0"/>
              <w:jc w:val="left"/>
              <w:rPr/>
            </w:pPr>
            <w:r>
              <w:rPr/>
              <w:t>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lineRule="auto" w:line="240" w:before="0" w:after="0"/>
              <w:ind w:left="0" w:right="0" w:hanging="0"/>
              <w:jc w:val="left"/>
              <w:rPr/>
            </w:pPr>
            <w:r>
              <w:rPr/>
              <w:t>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lineRule="auto" w:line="240" w:before="0" w:after="0"/>
              <w:ind w:left="0" w:right="0" w:hanging="0"/>
              <w:jc w:val="left"/>
              <w:rPr/>
            </w:pPr>
            <w:r>
              <w:rPr/>
              <w:t>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lineRule="auto" w:line="240" w:before="0" w:after="0"/>
              <w:ind w:left="0" w:right="0" w:hanging="0"/>
              <w:jc w:val="left"/>
              <w:rPr/>
            </w:pPr>
            <w:r>
              <w:rPr/>
              <w:t>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Cerebro</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44.2  </w:t>
            </w:r>
          </w:p>
        </w:tc>
        <w:tc>
          <w:tcPr>
            <w:tcW w:w="187" w:type="dxa"/>
            <w:tcBorders/>
            <w:vAlign w:val="bottom"/>
          </w:tcPr>
          <w:p>
            <w:pPr>
              <w:pStyle w:val="TableContents"/>
              <w:bidi w:val="0"/>
              <w:spacing w:lineRule="auto" w:line="240" w:before="0" w:after="0"/>
              <w:ind w:left="0" w:right="0" w:hanging="0"/>
              <w:jc w:val="left"/>
              <w:rPr>
                <w:rFonts w:ascii="Times New Roman" w:hAnsi="Times New Roman"/>
                <w:b/>
                <w:color w:val="000000"/>
                <w:sz w:val="16"/>
              </w:rPr>
            </w:pPr>
            <w:r>
              <w:rPr>
                <w:rFonts w:ascii="Times New Roman" w:hAnsi="Times New Roman"/>
                <w:b/>
                <w:color w:val="000000"/>
                <w:sz w:val="16"/>
              </w:rPr>
              <w:t>%</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44.4  </w:t>
            </w:r>
          </w:p>
        </w:tc>
        <w:tc>
          <w:tcPr>
            <w:tcW w:w="155"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44.4  </w:t>
            </w:r>
          </w:p>
        </w:tc>
        <w:tc>
          <w:tcPr>
            <w:tcW w:w="206" w:type="dxa"/>
            <w:tcBorders/>
            <w:vAlign w:val="bottom"/>
          </w:tcPr>
          <w:p>
            <w:pPr>
              <w:pStyle w:val="TableContents"/>
              <w:bidi w:val="0"/>
              <w:spacing w:lineRule="auto" w:line="240" w:before="0" w:after="0"/>
              <w:ind w:left="0" w:right="0" w:hanging="0"/>
              <w:jc w:val="left"/>
              <w:rPr>
                <w:rFonts w:ascii="Times New Roman" w:hAnsi="Times New Roman"/>
                <w:b/>
                <w:color w:val="000000"/>
                <w:sz w:val="16"/>
              </w:rPr>
            </w:pPr>
            <w:r>
              <w:rPr>
                <w:rFonts w:ascii="Times New Roman" w:hAnsi="Times New Roman"/>
                <w:b/>
                <w:color w:val="000000"/>
                <w:sz w:val="16"/>
              </w:rPr>
              <w:t>%</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44.6  </w:t>
            </w:r>
          </w:p>
        </w:tc>
        <w:tc>
          <w:tcPr>
            <w:tcW w:w="174"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Neurological</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11.1 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12.1 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11.2 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12.2 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Cancer</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9.5 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9.7 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9.5 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9.6 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Cardio</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16.6 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16.2 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16.5 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16.1 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Respiratory</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8.0 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7.5 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7.8 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7.3 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Other</w:t>
            </w:r>
          </w:p>
        </w:tc>
        <w:tc>
          <w:tcPr>
            <w:tcW w:w="11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4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10.6 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4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10.1 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10.6 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10.2 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600" w:right="0" w:hanging="0"/>
              <w:jc w:val="left"/>
              <w:rPr>
                <w:rFonts w:ascii="Times New Roman" w:hAnsi="Times New Roman"/>
                <w:color w:val="000000"/>
                <w:sz w:val="16"/>
              </w:rPr>
            </w:pPr>
            <w:r>
              <w:rPr>
                <w:rFonts w:ascii="Times New Roman" w:hAnsi="Times New Roman"/>
                <w:color w:val="000000"/>
                <w:sz w:val="16"/>
              </w:rPr>
              <w:t>Total</w:t>
            </w:r>
          </w:p>
        </w:tc>
        <w:tc>
          <w:tcPr>
            <w:tcW w:w="115"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84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100.0  </w:t>
            </w:r>
          </w:p>
        </w:tc>
        <w:tc>
          <w:tcPr>
            <w:tcW w:w="187" w:type="dxa"/>
            <w:tcBorders/>
            <w:vAlign w:val="bottom"/>
          </w:tcPr>
          <w:p>
            <w:pPr>
              <w:pStyle w:val="TableContents"/>
              <w:bidi w:val="0"/>
              <w:spacing w:lineRule="auto" w:line="240" w:before="0" w:after="0"/>
              <w:ind w:left="0" w:right="0" w:hanging="0"/>
              <w:jc w:val="left"/>
              <w:rPr>
                <w:rFonts w:ascii="Times New Roman" w:hAnsi="Times New Roman"/>
                <w:b/>
                <w:color w:val="000000"/>
                <w:sz w:val="16"/>
              </w:rPr>
            </w:pPr>
            <w:r>
              <w:rPr>
                <w:rFonts w:ascii="Times New Roman" w:hAnsi="Times New Roman"/>
                <w:b/>
                <w:color w:val="000000"/>
                <w:sz w:val="16"/>
              </w:rPr>
              <w:t>%</w:t>
            </w:r>
          </w:p>
        </w:tc>
        <w:tc>
          <w:tcPr>
            <w:tcW w:w="111"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84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100.0  </w:t>
            </w:r>
          </w:p>
        </w:tc>
        <w:tc>
          <w:tcPr>
            <w:tcW w:w="155"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24"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100.0  </w:t>
            </w:r>
          </w:p>
        </w:tc>
        <w:tc>
          <w:tcPr>
            <w:tcW w:w="206" w:type="dxa"/>
            <w:tcBorders/>
            <w:vAlign w:val="bottom"/>
          </w:tcPr>
          <w:p>
            <w:pPr>
              <w:pStyle w:val="TableContents"/>
              <w:bidi w:val="0"/>
              <w:spacing w:lineRule="auto" w:line="240" w:before="0" w:after="0"/>
              <w:ind w:left="0" w:right="0" w:hanging="0"/>
              <w:jc w:val="left"/>
              <w:rPr>
                <w:rFonts w:ascii="Times New Roman" w:hAnsi="Times New Roman"/>
                <w:b/>
                <w:color w:val="000000"/>
                <w:sz w:val="16"/>
              </w:rPr>
            </w:pPr>
            <w:r>
              <w:rPr>
                <w:rFonts w:ascii="Times New Roman" w:hAnsi="Times New Roman"/>
                <w:b/>
                <w:color w:val="000000"/>
                <w:sz w:val="16"/>
              </w:rPr>
              <w:t>%</w:t>
            </w:r>
          </w:p>
        </w:tc>
        <w:tc>
          <w:tcPr>
            <w:tcW w:w="122"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24"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100.0  </w:t>
            </w:r>
          </w:p>
        </w:tc>
        <w:tc>
          <w:tcPr>
            <w:tcW w:w="174"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r>
      <w:tr>
        <w:trPr/>
        <w:tc>
          <w:tcPr>
            <w:tcW w:w="3361" w:type="dxa"/>
            <w:tcBorders/>
            <w:vAlign w:val="bottom"/>
          </w:tcPr>
          <w:p>
            <w:pPr>
              <w:pStyle w:val="TableContents"/>
              <w:bidi w:val="0"/>
              <w:spacing w:lineRule="auto" w:line="240" w:before="0" w:after="0"/>
              <w:ind w:left="120" w:right="0" w:hanging="0"/>
              <w:jc w:val="left"/>
              <w:rPr>
                <w:rFonts w:ascii="Times New Roman" w:hAnsi="Times New Roman"/>
                <w:color w:val="000000"/>
                <w:sz w:val="16"/>
              </w:rPr>
            </w:pPr>
            <w:r>
              <w:rPr>
                <w:rFonts w:ascii="Times New Roman" w:hAnsi="Times New Roman"/>
                <w:color w:val="000000"/>
                <w:sz w:val="16"/>
              </w:rPr>
              <w:t>Admissions by major diagnosis</w:t>
            </w:r>
          </w:p>
        </w:tc>
        <w:tc>
          <w:tcPr>
            <w:tcW w:w="115"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4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4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4"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4"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Cerebro</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27.3  </w:t>
            </w:r>
          </w:p>
        </w:tc>
        <w:tc>
          <w:tcPr>
            <w:tcW w:w="187" w:type="dxa"/>
            <w:tcBorders/>
            <w:vAlign w:val="bottom"/>
          </w:tcPr>
          <w:p>
            <w:pPr>
              <w:pStyle w:val="TableContents"/>
              <w:bidi w:val="0"/>
              <w:spacing w:lineRule="auto" w:line="240" w:before="0" w:after="0"/>
              <w:ind w:left="0" w:right="0" w:hanging="0"/>
              <w:jc w:val="left"/>
              <w:rPr>
                <w:rFonts w:ascii="Times New Roman" w:hAnsi="Times New Roman"/>
                <w:b/>
                <w:color w:val="000000"/>
                <w:sz w:val="16"/>
              </w:rPr>
            </w:pPr>
            <w:r>
              <w:rPr>
                <w:rFonts w:ascii="Times New Roman" w:hAnsi="Times New Roman"/>
                <w:b/>
                <w:color w:val="000000"/>
                <w:sz w:val="16"/>
              </w:rPr>
              <w:t>%</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26.7  </w:t>
            </w:r>
          </w:p>
        </w:tc>
        <w:tc>
          <w:tcPr>
            <w:tcW w:w="155"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27.1  </w:t>
            </w:r>
          </w:p>
        </w:tc>
        <w:tc>
          <w:tcPr>
            <w:tcW w:w="206" w:type="dxa"/>
            <w:tcBorders/>
            <w:vAlign w:val="bottom"/>
          </w:tcPr>
          <w:p>
            <w:pPr>
              <w:pStyle w:val="TableContents"/>
              <w:bidi w:val="0"/>
              <w:spacing w:lineRule="auto" w:line="240" w:before="0" w:after="0"/>
              <w:ind w:left="0" w:right="0" w:hanging="0"/>
              <w:jc w:val="left"/>
              <w:rPr>
                <w:rFonts w:ascii="Times New Roman" w:hAnsi="Times New Roman"/>
                <w:b/>
                <w:color w:val="000000"/>
                <w:sz w:val="16"/>
              </w:rPr>
            </w:pPr>
            <w:r>
              <w:rPr>
                <w:rFonts w:ascii="Times New Roman" w:hAnsi="Times New Roman"/>
                <w:b/>
                <w:color w:val="000000"/>
                <w:sz w:val="16"/>
              </w:rPr>
              <w:t>%</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27.6  </w:t>
            </w:r>
          </w:p>
        </w:tc>
        <w:tc>
          <w:tcPr>
            <w:tcW w:w="174"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Neurological</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7.1 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7.2 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7.0 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6.8 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Cancer</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24.7 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26.6 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24.1 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25.6 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Cardio</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15.2 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14.9 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15.5 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15.0 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Respiratory</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11.8 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10.7 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12.1 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11.1 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Other</w:t>
            </w:r>
          </w:p>
        </w:tc>
        <w:tc>
          <w:tcPr>
            <w:tcW w:w="11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4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13.9 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13.9 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14.2 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13.9 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600" w:right="0" w:hanging="0"/>
              <w:jc w:val="left"/>
              <w:rPr>
                <w:rFonts w:ascii="Times New Roman" w:hAnsi="Times New Roman"/>
                <w:color w:val="000000"/>
                <w:sz w:val="16"/>
              </w:rPr>
            </w:pPr>
            <w:r>
              <w:rPr>
                <w:rFonts w:ascii="Times New Roman" w:hAnsi="Times New Roman"/>
                <w:color w:val="000000"/>
                <w:sz w:val="16"/>
              </w:rPr>
              <w:t>Total</w:t>
            </w:r>
          </w:p>
        </w:tc>
        <w:tc>
          <w:tcPr>
            <w:tcW w:w="115"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84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100.0  </w:t>
            </w:r>
          </w:p>
        </w:tc>
        <w:tc>
          <w:tcPr>
            <w:tcW w:w="187" w:type="dxa"/>
            <w:tcBorders/>
            <w:vAlign w:val="bottom"/>
          </w:tcPr>
          <w:p>
            <w:pPr>
              <w:pStyle w:val="TableContents"/>
              <w:bidi w:val="0"/>
              <w:spacing w:lineRule="auto" w:line="240" w:before="0" w:after="0"/>
              <w:ind w:left="0" w:right="0" w:hanging="0"/>
              <w:jc w:val="left"/>
              <w:rPr>
                <w:rFonts w:ascii="Times New Roman" w:hAnsi="Times New Roman"/>
                <w:b/>
                <w:color w:val="000000"/>
                <w:sz w:val="16"/>
              </w:rPr>
            </w:pPr>
            <w:r>
              <w:rPr>
                <w:rFonts w:ascii="Times New Roman" w:hAnsi="Times New Roman"/>
                <w:b/>
                <w:color w:val="000000"/>
                <w:sz w:val="16"/>
              </w:rPr>
              <w:t>%</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100.0  </w:t>
            </w:r>
          </w:p>
        </w:tc>
        <w:tc>
          <w:tcPr>
            <w:tcW w:w="155"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24"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100.0  </w:t>
            </w:r>
          </w:p>
        </w:tc>
        <w:tc>
          <w:tcPr>
            <w:tcW w:w="206" w:type="dxa"/>
            <w:tcBorders/>
            <w:vAlign w:val="bottom"/>
          </w:tcPr>
          <w:p>
            <w:pPr>
              <w:pStyle w:val="TableContents"/>
              <w:bidi w:val="0"/>
              <w:spacing w:lineRule="auto" w:line="240" w:before="0" w:after="0"/>
              <w:ind w:left="0" w:right="0" w:hanging="0"/>
              <w:jc w:val="left"/>
              <w:rPr>
                <w:rFonts w:ascii="Times New Roman" w:hAnsi="Times New Roman"/>
                <w:b/>
                <w:color w:val="000000"/>
                <w:sz w:val="16"/>
              </w:rPr>
            </w:pPr>
            <w:r>
              <w:rPr>
                <w:rFonts w:ascii="Times New Roman" w:hAnsi="Times New Roman"/>
                <w:b/>
                <w:color w:val="000000"/>
                <w:sz w:val="16"/>
              </w:rPr>
              <w:t>%</w:t>
            </w:r>
          </w:p>
        </w:tc>
        <w:tc>
          <w:tcPr>
            <w:tcW w:w="122"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24"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100.0  </w:t>
            </w:r>
          </w:p>
        </w:tc>
        <w:tc>
          <w:tcPr>
            <w:tcW w:w="174"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r>
      <w:tr>
        <w:trPr/>
        <w:tc>
          <w:tcPr>
            <w:tcW w:w="3361" w:type="dxa"/>
            <w:tcBorders/>
            <w:vAlign w:val="bottom"/>
          </w:tcPr>
          <w:p>
            <w:pPr>
              <w:pStyle w:val="TableContents"/>
              <w:bidi w:val="0"/>
              <w:spacing w:lineRule="auto" w:line="240" w:before="0" w:after="0"/>
              <w:ind w:left="600" w:right="0" w:hanging="0"/>
              <w:jc w:val="left"/>
              <w:rPr>
                <w:rFonts w:cs="Times New Roman"/>
                <w:color w:val="000000"/>
                <w:szCs w:val="16"/>
              </w:rPr>
            </w:pPr>
            <w:r>
              <w:rPr>
                <w:rFonts w:cs="Times New Roman"/>
                <w:color w:val="000000"/>
                <w:szCs w:val="16"/>
              </w:rPr>
              <w:t>﻿</w:t>
            </w:r>
          </w:p>
        </w:tc>
        <w:tc>
          <w:tcPr>
            <w:tcW w:w="115"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4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4"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4"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Estimated uncollectible accounts as a percent of revenues</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0.7  </w:t>
            </w:r>
          </w:p>
        </w:tc>
        <w:tc>
          <w:tcPr>
            <w:tcW w:w="187" w:type="dxa"/>
            <w:tcBorders/>
            <w:vAlign w:val="bottom"/>
          </w:tcPr>
          <w:p>
            <w:pPr>
              <w:pStyle w:val="TableContents"/>
              <w:bidi w:val="0"/>
              <w:spacing w:lineRule="auto" w:line="240" w:before="0" w:after="0"/>
              <w:ind w:left="0" w:right="0" w:hanging="0"/>
              <w:jc w:val="left"/>
              <w:rPr>
                <w:rFonts w:ascii="Times New Roman" w:hAnsi="Times New Roman"/>
                <w:b/>
                <w:color w:val="000000"/>
                <w:sz w:val="16"/>
              </w:rPr>
            </w:pPr>
            <w:r>
              <w:rPr>
                <w:rFonts w:ascii="Times New Roman" w:hAnsi="Times New Roman"/>
                <w:b/>
                <w:color w:val="000000"/>
                <w:sz w:val="16"/>
              </w:rPr>
              <w:t>%</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1.0  </w:t>
            </w:r>
          </w:p>
        </w:tc>
        <w:tc>
          <w:tcPr>
            <w:tcW w:w="155"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1.1  </w:t>
            </w:r>
          </w:p>
        </w:tc>
        <w:tc>
          <w:tcPr>
            <w:tcW w:w="206" w:type="dxa"/>
            <w:tcBorders/>
            <w:vAlign w:val="bottom"/>
          </w:tcPr>
          <w:p>
            <w:pPr>
              <w:pStyle w:val="TableContents"/>
              <w:bidi w:val="0"/>
              <w:spacing w:lineRule="auto" w:line="240" w:before="0" w:after="0"/>
              <w:ind w:left="0" w:right="0" w:hanging="0"/>
              <w:jc w:val="left"/>
              <w:rPr>
                <w:rFonts w:ascii="Times New Roman" w:hAnsi="Times New Roman"/>
                <w:b/>
                <w:color w:val="000000"/>
                <w:sz w:val="16"/>
              </w:rPr>
            </w:pPr>
            <w:r>
              <w:rPr>
                <w:rFonts w:ascii="Times New Roman" w:hAnsi="Times New Roman"/>
                <w:b/>
                <w:color w:val="000000"/>
                <w:sz w:val="16"/>
              </w:rPr>
              <w:t>%</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0.8  </w:t>
            </w:r>
          </w:p>
        </w:tc>
        <w:tc>
          <w:tcPr>
            <w:tcW w:w="174"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r>
      <w:tr>
        <w:trPr/>
        <w:tc>
          <w:tcPr>
            <w:tcW w:w="3361"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lineRule="auto" w:line="240" w:before="0" w:after="0"/>
              <w:ind w:left="0" w:right="0" w:hanging="0"/>
              <w:jc w:val="left"/>
              <w:rPr/>
            </w:pPr>
            <w:r>
              <w:rPr/>
              <w:t>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lineRule="auto" w:line="240" w:before="0" w:after="0"/>
              <w:ind w:left="0" w:right="0" w:hanging="0"/>
              <w:jc w:val="left"/>
              <w:rPr/>
            </w:pPr>
            <w:r>
              <w:rPr/>
              <w:t>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lineRule="auto" w:line="240" w:before="0" w:after="0"/>
              <w:ind w:left="0" w:right="0" w:hanging="0"/>
              <w:jc w:val="left"/>
              <w:rPr/>
            </w:pPr>
            <w:r>
              <w:rPr/>
              <w:t>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lineRule="auto" w:line="240" w:before="0" w:after="0"/>
              <w:ind w:left="0" w:right="0" w:hanging="0"/>
              <w:jc w:val="left"/>
              <w:rPr/>
            </w:pPr>
            <w:r>
              <w:rPr/>
              <w:t>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361"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Accounts receivable --</w:t>
            </w:r>
          </w:p>
        </w:tc>
        <w:tc>
          <w:tcPr>
            <w:tcW w:w="115"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lineRule="auto" w:line="240" w:before="0" w:after="0"/>
              <w:ind w:left="0" w:right="0" w:hanging="0"/>
              <w:jc w:val="left"/>
              <w:rPr/>
            </w:pPr>
            <w:r>
              <w:rPr/>
              <w:t>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lineRule="auto" w:line="240" w:before="0" w:after="0"/>
              <w:ind w:left="0" w:right="0" w:hanging="0"/>
              <w:jc w:val="left"/>
              <w:rPr/>
            </w:pPr>
            <w:r>
              <w:rPr/>
              <w:t>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lineRule="auto" w:line="240" w:before="0" w:after="0"/>
              <w:ind w:left="0" w:right="0" w:hanging="0"/>
              <w:jc w:val="left"/>
              <w:rPr/>
            </w:pPr>
            <w:r>
              <w:rPr/>
              <w:t> </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lineRule="auto" w:line="240" w:before="0" w:after="0"/>
              <w:ind w:left="0" w:right="0" w:hanging="0"/>
              <w:jc w:val="left"/>
              <w:rPr/>
            </w:pPr>
            <w:r>
              <w:rPr/>
              <w:t> </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476" w:type="dxa"/>
            <w:gridSpan w:val="2"/>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Days of revenue outstanding-excluding unapplied Medicare payments</w:t>
            </w:r>
          </w:p>
        </w:tc>
        <w:tc>
          <w:tcPr>
            <w:tcW w:w="842"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39.7 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37.5 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lineRule="auto" w:line="240" w:before="0" w:after="0"/>
              <w:ind w:left="0" w:right="0" w:hanging="0"/>
              <w:jc w:val="right"/>
              <w:rPr>
                <w:rFonts w:ascii="Times New Roman" w:hAnsi="Times New Roman"/>
                <w:b/>
                <w:color w:val="000000"/>
                <w:sz w:val="16"/>
              </w:rPr>
            </w:pPr>
            <w:r>
              <w:rPr>
                <w:rFonts w:ascii="Times New Roman" w:hAnsi="Times New Roman"/>
                <w:b/>
                <w:color w:val="000000"/>
                <w:sz w:val="16"/>
              </w:rPr>
              <w:t>n.a.</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lineRule="auto" w:line="240" w:before="0" w:after="0"/>
              <w:ind w:left="0" w:right="0" w:hanging="0"/>
              <w:jc w:val="right"/>
              <w:rPr>
                <w:rFonts w:ascii="Times New Roman" w:hAnsi="Times New Roman"/>
                <w:color w:val="000000"/>
                <w:sz w:val="16"/>
              </w:rPr>
            </w:pPr>
            <w:r>
              <w:rPr>
                <w:rFonts w:ascii="Times New Roman" w:hAnsi="Times New Roman"/>
                <w:color w:val="000000"/>
                <w:sz w:val="16"/>
              </w:rPr>
              <w:t>n.a.</w:t>
            </w:r>
          </w:p>
        </w:tc>
        <w:tc>
          <w:tcPr>
            <w:tcW w:w="174" w:type="dxa"/>
            <w:tcBorders/>
            <w:vAlign w:val="bottom"/>
          </w:tcPr>
          <w:p>
            <w:pPr>
              <w:pStyle w:val="TableContents"/>
              <w:bidi w:val="0"/>
              <w:spacing w:lineRule="auto" w:line="240" w:before="0" w:after="0"/>
              <w:ind w:left="0" w:right="0" w:hanging="0"/>
              <w:jc w:val="left"/>
              <w:rPr/>
            </w:pPr>
            <w:r>
              <w:rPr/>
              <w:t> </w:t>
            </w:r>
          </w:p>
        </w:tc>
      </w:tr>
      <w:tr>
        <w:trPr/>
        <w:tc>
          <w:tcPr>
            <w:tcW w:w="3476" w:type="dxa"/>
            <w:gridSpan w:val="2"/>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Days of revenue outstanding-including unapplied Medicare payments</w:t>
            </w:r>
          </w:p>
        </w:tc>
        <w:tc>
          <w:tcPr>
            <w:tcW w:w="842"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26.9  </w:t>
            </w:r>
          </w:p>
        </w:tc>
        <w:tc>
          <w:tcPr>
            <w:tcW w:w="187" w:type="dxa"/>
            <w:tcBorders/>
            <w:vAlign w:val="bottom"/>
          </w:tcPr>
          <w:p>
            <w:pPr>
              <w:pStyle w:val="TableContents"/>
              <w:bidi w:val="0"/>
              <w:spacing w:lineRule="auto" w:line="240" w:before="0" w:after="0"/>
              <w:ind w:left="0" w:right="0" w:hanging="0"/>
              <w:jc w:val="left"/>
              <w:rPr/>
            </w:pPr>
            <w:r>
              <w:rPr/>
              <w:t> </w:t>
            </w:r>
          </w:p>
        </w:tc>
        <w:tc>
          <w:tcPr>
            <w:tcW w:w="111" w:type="dxa"/>
            <w:tcBorders/>
            <w:vAlign w:val="bottom"/>
          </w:tcPr>
          <w:p>
            <w:pPr>
              <w:pStyle w:val="TableContents"/>
              <w:bidi w:val="0"/>
              <w:spacing w:lineRule="auto" w:line="240" w:before="0" w:after="0"/>
              <w:ind w:left="0" w:right="0" w:hanging="0"/>
              <w:jc w:val="left"/>
              <w:rPr/>
            </w:pPr>
            <w:r>
              <w:rPr/>
              <w:t> </w:t>
            </w:r>
          </w:p>
        </w:tc>
        <w:tc>
          <w:tcPr>
            <w:tcW w:w="8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26.9  </w:t>
            </w:r>
          </w:p>
        </w:tc>
        <w:tc>
          <w:tcPr>
            <w:tcW w:w="1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lineRule="auto" w:line="240" w:before="0" w:after="0"/>
              <w:ind w:left="0" w:right="0" w:hanging="0"/>
              <w:jc w:val="right"/>
              <w:rPr>
                <w:rFonts w:ascii="Times New Roman" w:hAnsi="Times New Roman"/>
                <w:b/>
                <w:color w:val="000000"/>
                <w:sz w:val="16"/>
              </w:rPr>
            </w:pPr>
            <w:r>
              <w:rPr>
                <w:rFonts w:ascii="Times New Roman" w:hAnsi="Times New Roman"/>
                <w:b/>
                <w:color w:val="000000"/>
                <w:sz w:val="16"/>
              </w:rPr>
              <w:t>n.a.</w:t>
            </w:r>
          </w:p>
        </w:tc>
        <w:tc>
          <w:tcPr>
            <w:tcW w:w="206" w:type="dxa"/>
            <w:tcBorders/>
            <w:vAlign w:val="bottom"/>
          </w:tcPr>
          <w:p>
            <w:pPr>
              <w:pStyle w:val="TableContents"/>
              <w:bidi w:val="0"/>
              <w:spacing w:lineRule="auto" w:line="240" w:before="0" w:after="0"/>
              <w:ind w:left="0" w:right="0" w:hanging="0"/>
              <w:jc w:val="left"/>
              <w:rPr/>
            </w:pPr>
            <w:r>
              <w:rPr/>
              <w:t> </w:t>
            </w:r>
          </w:p>
        </w:tc>
        <w:tc>
          <w:tcPr>
            <w:tcW w:w="122" w:type="dxa"/>
            <w:tcBorders/>
            <w:vAlign w:val="bottom"/>
          </w:tcPr>
          <w:p>
            <w:pPr>
              <w:pStyle w:val="TableContents"/>
              <w:bidi w:val="0"/>
              <w:spacing w:lineRule="auto" w:line="240" w:before="0" w:after="0"/>
              <w:ind w:left="0" w:right="0" w:hanging="0"/>
              <w:jc w:val="left"/>
              <w:rPr/>
            </w:pPr>
            <w:r>
              <w:rPr/>
              <w:t> </w:t>
            </w:r>
          </w:p>
        </w:tc>
        <w:tc>
          <w:tcPr>
            <w:tcW w:w="924" w:type="dxa"/>
            <w:tcBorders/>
            <w:vAlign w:val="bottom"/>
          </w:tcPr>
          <w:p>
            <w:pPr>
              <w:pStyle w:val="TableContents"/>
              <w:bidi w:val="0"/>
              <w:spacing w:lineRule="auto" w:line="240" w:before="0" w:after="0"/>
              <w:ind w:left="0" w:right="0" w:hanging="0"/>
              <w:jc w:val="right"/>
              <w:rPr>
                <w:rFonts w:ascii="Times New Roman" w:hAnsi="Times New Roman"/>
                <w:color w:val="000000"/>
                <w:sz w:val="16"/>
              </w:rPr>
            </w:pPr>
            <w:r>
              <w:rPr>
                <w:rFonts w:ascii="Times New Roman" w:hAnsi="Times New Roman"/>
                <w:color w:val="000000"/>
                <w:sz w:val="16"/>
              </w:rPr>
              <w:t>n.a.</w:t>
            </w:r>
          </w:p>
        </w:tc>
        <w:tc>
          <w:tcPr>
            <w:tcW w:w="174" w:type="dxa"/>
            <w:tcBorders/>
            <w:vAlign w:val="bottom"/>
          </w:tcPr>
          <w:p>
            <w:pPr>
              <w:pStyle w:val="TableContents"/>
              <w:bidi w:val="0"/>
              <w:spacing w:lineRule="auto" w:line="240" w:before="0" w:after="0"/>
              <w:ind w:left="0" w:right="0" w:hanging="0"/>
              <w:jc w:val="left"/>
              <w:rPr/>
            </w:pPr>
            <w:r>
              <w:rPr/>
              <w:t> </w:t>
            </w:r>
          </w:p>
        </w:tc>
      </w:tr>
    </w:tbl>
    <w:p>
      <w:pPr>
        <w:pStyle w:val="TextBody"/>
        <w:bidi w:val="0"/>
        <w:spacing w:lineRule="auto" w:line="240" w:before="0" w:after="0"/>
        <w:ind w:left="720" w:right="1340" w:hanging="0"/>
        <w:jc w:val="left"/>
        <w:rPr>
          <w:rFonts w:cs="Times New Roman"/>
          <w:szCs w:val="20"/>
        </w:rPr>
      </w:pPr>
      <w:r>
        <w:rPr>
          <w:rFonts w:cs="Times New Roman"/>
          <w:szCs w:val="20"/>
        </w:rPr>
        <w:t xml:space="preserve">﻿ </w:t>
      </w:r>
    </w:p>
    <w:p>
      <w:pPr>
        <w:pStyle w:val="TextBody"/>
        <w:bidi w:val="0"/>
        <w:spacing w:lineRule="auto" w:line="240" w:before="0" w:after="0"/>
        <w:ind w:left="720" w:right="1340" w:hanging="0"/>
        <w:jc w:val="left"/>
        <w:rPr>
          <w:rFonts w:cs="Times New Roman"/>
          <w:szCs w:val="20"/>
        </w:rPr>
      </w:pPr>
      <w:r>
        <w:rPr>
          <w:rFonts w:cs="Times New Roman"/>
          <w:szCs w:val="20"/>
        </w:rPr>
        <w:t xml:space="preserve">﻿ </w:t>
      </w:r>
    </w:p>
    <w:p>
      <w:pPr>
        <w:pStyle w:val="HorizontalLine"/>
        <w:pBdr>
          <w:bottom w:val="double" w:sz="6" w:space="0" w:color="808080"/>
        </w:pBdr>
        <w:bidi w:val="0"/>
        <w:ind w:left="720" w:right="1340" w:hanging="0"/>
        <w:jc w:val="left"/>
        <w:rPr/>
      </w:pPr>
      <w:r>
        <w:rPr/>
      </w:r>
    </w:p>
    <w:p>
      <w:pPr>
        <w:pStyle w:val="TextBody"/>
        <w:bidi w:val="0"/>
        <w:ind w:left="720" w:right="1340" w:hanging="0"/>
        <w:jc w:val="left"/>
        <w:rPr/>
      </w:pPr>
      <w:r>
        <w:rPr/>
        <w:t> </w:t>
      </w:r>
      <w:r>
        <w:br w:type="page"/>
      </w:r>
    </w:p>
    <w:p>
      <w:pPr>
        <w:pStyle w:val="TextBody"/>
        <w:bidi w:val="0"/>
        <w:spacing w:lineRule="auto" w:line="240" w:before="0" w:after="0"/>
        <w:ind w:left="720" w:right="1340" w:hanging="0"/>
        <w:jc w:val="left"/>
        <w:rPr>
          <w:rFonts w:cs="Times New Roman"/>
          <w:szCs w:val="20"/>
        </w:rPr>
      </w:pPr>
      <w:r>
        <w:rPr>
          <w:rFonts w:cs="Times New Roman"/>
          <w:szCs w:val="20"/>
        </w:rPr>
        <w:t xml:space="preserve">﻿ </w:t>
      </w:r>
    </w:p>
    <w:p>
      <w:pPr>
        <w:pStyle w:val="TextBody"/>
        <w:bidi w:val="0"/>
        <w:spacing w:lineRule="auto" w:line="240" w:before="0" w:after="0"/>
        <w:ind w:left="720" w:right="1340" w:hanging="0"/>
        <w:jc w:val="left"/>
        <w:rPr>
          <w:rFonts w:cs="Times New Roman"/>
          <w:szCs w:val="20"/>
        </w:rPr>
      </w:pPr>
      <w:r>
        <w:rPr>
          <w:rFonts w:cs="Times New Roman"/>
          <w:szCs w:val="20"/>
        </w:rPr>
        <w:t xml:space="preserve">﻿ </w:t>
      </w:r>
    </w:p>
    <w:p>
      <w:pPr>
        <w:pStyle w:val="TextBody"/>
        <w:bidi w:val="0"/>
        <w:spacing w:lineRule="auto" w:line="240" w:before="0" w:after="0"/>
        <w:ind w:left="720" w:right="1340" w:hanging="0"/>
        <w:jc w:val="left"/>
        <w:rPr>
          <w:rFonts w:cs="Times New Roman"/>
          <w:szCs w:val="2"/>
        </w:rPr>
      </w:pPr>
      <w:r>
        <w:rPr>
          <w:rFonts w:cs="Times New Roman"/>
          <w:szCs w:val="2"/>
        </w:rPr>
        <w:t xml:space="preserve">﻿ </w:t>
      </w:r>
    </w:p>
    <w:tbl>
      <w:tblPr>
        <w:tblW w:w="8145" w:type="dxa"/>
        <w:jc w:val="left"/>
        <w:tblInd w:w="720" w:type="dxa"/>
        <w:tblLayout w:type="fixed"/>
        <w:tblCellMar>
          <w:top w:w="0" w:type="dxa"/>
          <w:left w:w="0" w:type="dxa"/>
          <w:bottom w:w="0" w:type="dxa"/>
          <w:right w:w="0" w:type="dxa"/>
        </w:tblCellMar>
      </w:tblPr>
      <w:tblGrid>
        <w:gridCol w:w="193"/>
        <w:gridCol w:w="2976"/>
        <w:gridCol w:w="88"/>
        <w:gridCol w:w="163"/>
        <w:gridCol w:w="676"/>
        <w:gridCol w:w="88"/>
        <w:gridCol w:w="213"/>
        <w:gridCol w:w="1043"/>
        <w:gridCol w:w="88"/>
        <w:gridCol w:w="163"/>
        <w:gridCol w:w="1011"/>
        <w:gridCol w:w="88"/>
        <w:gridCol w:w="213"/>
        <w:gridCol w:w="1142"/>
      </w:tblGrid>
      <w:tr>
        <w:trPr/>
        <w:tc>
          <w:tcPr>
            <w:tcW w:w="193"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2976" w:type="dxa"/>
            <w:tcBorders/>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676" w:type="dxa"/>
            <w:tcBorders/>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043" w:type="dxa"/>
            <w:tcBorders/>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1011" w:type="dxa"/>
            <w:tcBorders/>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142" w:type="dxa"/>
            <w:tcBorders/>
            <w:vAlign w:val="bottom"/>
          </w:tcPr>
          <w:p>
            <w:pPr>
              <w:pStyle w:val="TableContents"/>
              <w:bidi w:val="0"/>
              <w:spacing w:lineRule="auto" w:line="240" w:before="0" w:after="0"/>
              <w:ind w:left="0" w:right="0" w:hanging="0"/>
              <w:jc w:val="left"/>
              <w:rPr/>
            </w:pPr>
            <w:r>
              <w:rPr/>
              <w:t> </w:t>
            </w:r>
          </w:p>
        </w:tc>
      </w:tr>
      <w:tr>
        <w:trPr/>
        <w:tc>
          <w:tcPr>
            <w:tcW w:w="8145" w:type="dxa"/>
            <w:gridSpan w:val="14"/>
            <w:tcBorders/>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CHEMED CORPORATION AND SUBSIDIARY COMPANIES</w:t>
            </w:r>
          </w:p>
        </w:tc>
      </w:tr>
      <w:tr>
        <w:trPr/>
        <w:tc>
          <w:tcPr>
            <w:tcW w:w="8145" w:type="dxa"/>
            <w:gridSpan w:val="14"/>
            <w:tcBorders/>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FOOTNOTES TO FINANCIAL STATEMENTS</w:t>
            </w:r>
          </w:p>
        </w:tc>
      </w:tr>
      <w:tr>
        <w:trPr/>
        <w:tc>
          <w:tcPr>
            <w:tcW w:w="8145" w:type="dxa"/>
            <w:gridSpan w:val="14"/>
            <w:tcBorders/>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FOR THE THREE AND SIX MONTHS ENDED JUNE 30, 2026 AND 2025</w:t>
            </w:r>
          </w:p>
        </w:tc>
      </w:tr>
      <w:tr>
        <w:trPr/>
        <w:tc>
          <w:tcPr>
            <w:tcW w:w="8145" w:type="dxa"/>
            <w:gridSpan w:val="14"/>
            <w:tcBorders/>
            <w:vAlign w:val="bottom"/>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(unaudited)</w:t>
            </w:r>
          </w:p>
        </w:tc>
      </w:tr>
      <w:tr>
        <w:trPr/>
        <w:tc>
          <w:tcPr>
            <w:tcW w:w="193" w:type="dxa"/>
            <w:tcBorders/>
            <w:vAlign w:val="bottom"/>
          </w:tcPr>
          <w:p>
            <w:pPr>
              <w:pStyle w:val="TableContents"/>
              <w:bidi w:val="0"/>
              <w:spacing w:lineRule="auto" w:line="240" w:before="0" w:after="0"/>
              <w:ind w:left="0" w:right="0" w:hanging="0"/>
              <w:jc w:val="left"/>
              <w:rPr>
                <w:rFonts w:cs="Times New Roman"/>
                <w:bCs/>
                <w:color w:val="000000"/>
                <w:szCs w:val="16"/>
              </w:rPr>
            </w:pPr>
            <w:r>
              <w:rPr>
                <w:rFonts w:cs="Times New Roman"/>
                <w:bCs/>
                <w:color w:val="000000"/>
                <w:szCs w:val="16"/>
              </w:rPr>
              <w:t>﻿</w:t>
            </w:r>
          </w:p>
        </w:tc>
        <w:tc>
          <w:tcPr>
            <w:tcW w:w="2976" w:type="dxa"/>
            <w:tcBorders/>
            <w:vAlign w:val="bottom"/>
          </w:tcPr>
          <w:p>
            <w:pPr>
              <w:pStyle w:val="TableContents"/>
              <w:bidi w:val="0"/>
              <w:spacing w:lineRule="auto" w:line="240" w:before="0" w:after="0"/>
              <w:ind w:left="0" w:right="0" w:hanging="0"/>
              <w:jc w:val="center"/>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676" w:type="dxa"/>
            <w:tcBorders/>
            <w:vAlign w:val="bottom"/>
          </w:tcPr>
          <w:p>
            <w:pPr>
              <w:pStyle w:val="TableContents"/>
              <w:bidi w:val="0"/>
              <w:spacing w:lineRule="auto" w:line="240" w:before="0" w:after="0"/>
              <w:ind w:left="0" w:right="0" w:hanging="0"/>
              <w:jc w:val="center"/>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043" w:type="dxa"/>
            <w:tcBorders/>
            <w:vAlign w:val="bottom"/>
          </w:tcPr>
          <w:p>
            <w:pPr>
              <w:pStyle w:val="TableContents"/>
              <w:bidi w:val="0"/>
              <w:spacing w:lineRule="auto" w:line="240" w:before="0" w:after="0"/>
              <w:ind w:left="0" w:right="0" w:hanging="0"/>
              <w:jc w:val="center"/>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1011" w:type="dxa"/>
            <w:tcBorders/>
            <w:vAlign w:val="bottom"/>
          </w:tcPr>
          <w:p>
            <w:pPr>
              <w:pStyle w:val="TableContents"/>
              <w:bidi w:val="0"/>
              <w:spacing w:lineRule="auto" w:line="240" w:before="0" w:after="0"/>
              <w:ind w:left="0" w:right="0" w:hanging="0"/>
              <w:jc w:val="center"/>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142" w:type="dxa"/>
            <w:tcBorders/>
            <w:vAlign w:val="bottom"/>
          </w:tcPr>
          <w:p>
            <w:pPr>
              <w:pStyle w:val="TableContents"/>
              <w:bidi w:val="0"/>
              <w:spacing w:lineRule="auto" w:line="240" w:before="0" w:after="0"/>
              <w:ind w:left="0" w:right="0" w:hanging="0"/>
              <w:jc w:val="center"/>
              <w:rPr/>
            </w:pPr>
            <w:r>
              <w:rPr/>
              <w:t> </w:t>
            </w:r>
          </w:p>
        </w:tc>
      </w:tr>
      <w:tr>
        <w:trPr/>
        <w:tc>
          <w:tcPr>
            <w:tcW w:w="193" w:type="dxa"/>
            <w:tcBorders/>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(a)</w:t>
            </w:r>
          </w:p>
        </w:tc>
        <w:tc>
          <w:tcPr>
            <w:tcW w:w="7952" w:type="dxa"/>
            <w:gridSpan w:val="13"/>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Included in the results of operations for 2026 are the following significant credits/(charges) which may not be indicative of ongoing operations</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(in thousands):</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676" w:type="dxa"/>
            <w:tcBorders/>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043" w:type="dxa"/>
            <w:tcBorders/>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1011" w:type="dxa"/>
            <w:tcBorders/>
            <w:vAlign w:val="bottom"/>
          </w:tcPr>
          <w:p>
            <w:pPr>
              <w:pStyle w:val="TableContents"/>
              <w:bidi w:val="0"/>
              <w:spacing w:lineRule="auto" w:line="240" w:before="0" w:after="0"/>
              <w:ind w:left="0" w:right="0" w:hanging="0"/>
              <w:jc w:val="righ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142" w:type="dxa"/>
            <w:tcBorders/>
            <w:vAlign w:val="bottom"/>
          </w:tcPr>
          <w:p>
            <w:pPr>
              <w:pStyle w:val="TableContents"/>
              <w:bidi w:val="0"/>
              <w:spacing w:lineRule="auto" w:line="240" w:before="0" w:after="0"/>
              <w:ind w:left="0" w:right="0" w:hanging="0"/>
              <w:jc w:val="left"/>
              <w:rPr/>
            </w:pPr>
            <w:r>
              <w:rPr/>
              <w:t>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4888" w:type="dxa"/>
            <w:gridSpan w:val="11"/>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Three Months Ended June 30, 2026</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839"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VITAS</w:t>
            </w:r>
          </w:p>
        </w:tc>
        <w:tc>
          <w:tcPr>
            <w:tcW w:w="88"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256"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Roto-Rooter</w:t>
            </w:r>
          </w:p>
        </w:tc>
        <w:tc>
          <w:tcPr>
            <w:tcW w:w="88"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74"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Corporate</w:t>
            </w:r>
          </w:p>
        </w:tc>
        <w:tc>
          <w:tcPr>
            <w:tcW w:w="88"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355"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Consolidated</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76" w:type="dxa"/>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43" w:type="dxa"/>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11" w:type="dxa"/>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2"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Stock option expense</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676"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043"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011"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(9,052)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1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(9,052)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Amortization of reacquired franchise agreements</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676"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043"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(2,352)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1011"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1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(2,352)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Long-term incentive compensation</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676"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043"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1011"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(2,248)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1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(2,248)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Legal expense</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676"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(548)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043"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1011"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1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(548)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Acquisition expense</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676"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(8)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043"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(60)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1011"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14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(68)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480" w:right="0" w:hanging="0"/>
              <w:jc w:val="left"/>
              <w:rPr>
                <w:rFonts w:ascii="Times New Roman" w:hAnsi="Times New Roman"/>
                <w:color w:val="000000"/>
                <w:sz w:val="16"/>
              </w:rPr>
            </w:pPr>
            <w:r>
              <w:rPr>
                <w:rFonts w:ascii="Times New Roman" w:hAnsi="Times New Roman"/>
                <w:color w:val="000000"/>
                <w:sz w:val="16"/>
              </w:rPr>
              <w:t>Pretax impact on earnings</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76"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(556)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043"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(2,412)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1011"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(11,300)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142"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(14,268)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Excess tax expenses on stock compensation</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676"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043"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1011"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(445)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1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(445)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Income tax benefit on the above</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676"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135 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43"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562 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11"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1,680 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4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2,377 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480" w:right="0" w:hanging="0"/>
              <w:jc w:val="left"/>
              <w:rPr>
                <w:rFonts w:ascii="Times New Roman" w:hAnsi="Times New Roman"/>
                <w:color w:val="000000"/>
                <w:sz w:val="16"/>
              </w:rPr>
            </w:pPr>
            <w:r>
              <w:rPr>
                <w:rFonts w:ascii="Times New Roman" w:hAnsi="Times New Roman"/>
                <w:color w:val="000000"/>
                <w:sz w:val="16"/>
              </w:rPr>
              <w:t>After-tax impact on earnings</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676"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(421)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043"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(1,850)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011"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(10,065)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14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(12,336)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76"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4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11"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4888" w:type="dxa"/>
            <w:gridSpan w:val="11"/>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Six Months Ended June 30, 2026</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839"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VITAS</w:t>
            </w:r>
          </w:p>
        </w:tc>
        <w:tc>
          <w:tcPr>
            <w:tcW w:w="88"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256"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Roto-Rooter</w:t>
            </w:r>
          </w:p>
        </w:tc>
        <w:tc>
          <w:tcPr>
            <w:tcW w:w="88"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74"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Corporate</w:t>
            </w:r>
          </w:p>
        </w:tc>
        <w:tc>
          <w:tcPr>
            <w:tcW w:w="88"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355"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Consolidated</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76" w:type="dxa"/>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43" w:type="dxa"/>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11" w:type="dxa"/>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2"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Stock option expense</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676"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043"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011"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(18,302)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1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(18,302)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Amortization of reacquired franchise agreements</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676"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043"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(4,704)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1011"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1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(4,704)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Long-term incentive compensation</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676"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043"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1011"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(3,753)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1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(3,753)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Legal settlements</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676"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(548)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043"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1011"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1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(548)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Acquisition expense</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676"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(8)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43"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(226)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11"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4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(234)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480" w:right="0" w:hanging="0"/>
              <w:jc w:val="left"/>
              <w:rPr>
                <w:rFonts w:ascii="Times New Roman" w:hAnsi="Times New Roman"/>
                <w:color w:val="000000"/>
                <w:sz w:val="16"/>
              </w:rPr>
            </w:pPr>
            <w:r>
              <w:rPr>
                <w:rFonts w:ascii="Times New Roman" w:hAnsi="Times New Roman"/>
                <w:color w:val="000000"/>
                <w:sz w:val="16"/>
              </w:rPr>
              <w:t>Pretax impact on earnings</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76"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(556)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43"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(4,930)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11"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(22,055)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2"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(27,541)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Excess tax expenses on stock compensation</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676"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043"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1011"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(501)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1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(501)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Income tax benefit on the above</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676"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135 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43"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1,149 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11"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3,342 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4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4,626 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480" w:right="0" w:hanging="0"/>
              <w:jc w:val="left"/>
              <w:rPr>
                <w:rFonts w:ascii="Times New Roman" w:hAnsi="Times New Roman"/>
                <w:color w:val="000000"/>
                <w:sz w:val="16"/>
              </w:rPr>
            </w:pPr>
            <w:r>
              <w:rPr>
                <w:rFonts w:ascii="Times New Roman" w:hAnsi="Times New Roman"/>
                <w:color w:val="000000"/>
                <w:sz w:val="16"/>
              </w:rPr>
              <w:t>After-tax impact on earnings</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676"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(421)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043"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(3,781)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011"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(19,214)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14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(23,416)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76" w:type="dxa"/>
            <w:tcBorders>
              <w:top w:val="double" w:sz="5"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43" w:type="dxa"/>
            <w:tcBorders>
              <w:top w:val="double" w:sz="5"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11" w:type="dxa"/>
            <w:tcBorders>
              <w:top w:val="double" w:sz="5"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2" w:type="dxa"/>
            <w:tcBorders>
              <w:top w:val="double" w:sz="5" w:space="0" w:color="000000"/>
            </w:tcBorders>
            <w:tcMar>
              <w:top w:w="28" w:type="dxa"/>
            </w:tcMar>
            <w:vAlign w:val="bottom"/>
          </w:tcPr>
          <w:p>
            <w:pPr>
              <w:pStyle w:val="TableContents"/>
              <w:bidi w:val="0"/>
              <w:spacing w:lineRule="auto" w:line="240" w:before="0" w:after="0"/>
              <w:ind w:left="0" w:right="0" w:hanging="0"/>
              <w:jc w:val="center"/>
              <w:rPr/>
            </w:pPr>
            <w:r>
              <w:rPr/>
              <w:t> </w:t>
            </w:r>
          </w:p>
        </w:tc>
      </w:tr>
      <w:tr>
        <w:trPr/>
        <w:tc>
          <w:tcPr>
            <w:tcW w:w="193" w:type="dxa"/>
            <w:tcBorders/>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(b)</w:t>
            </w:r>
          </w:p>
        </w:tc>
        <w:tc>
          <w:tcPr>
            <w:tcW w:w="7952" w:type="dxa"/>
            <w:gridSpan w:val="13"/>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Included in the results of operations for 2025 are the following significant credits/(charges) which may not be indicative of ongoing operations</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(in thousands):</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676" w:type="dxa"/>
            <w:tcBorders/>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043" w:type="dxa"/>
            <w:tcBorders/>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1011" w:type="dxa"/>
            <w:tcBorders/>
            <w:vAlign w:val="bottom"/>
          </w:tcPr>
          <w:p>
            <w:pPr>
              <w:pStyle w:val="TableContents"/>
              <w:bidi w:val="0"/>
              <w:spacing w:lineRule="auto" w:line="240" w:before="0" w:after="0"/>
              <w:ind w:left="0" w:right="0" w:hanging="0"/>
              <w:jc w:val="righ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142" w:type="dxa"/>
            <w:tcBorders/>
            <w:vAlign w:val="bottom"/>
          </w:tcPr>
          <w:p>
            <w:pPr>
              <w:pStyle w:val="TableContents"/>
              <w:bidi w:val="0"/>
              <w:spacing w:lineRule="auto" w:line="240" w:before="0" w:after="0"/>
              <w:ind w:left="0" w:right="0" w:hanging="0"/>
              <w:jc w:val="left"/>
              <w:rPr/>
            </w:pPr>
            <w:r>
              <w:rPr/>
              <w:t>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4888" w:type="dxa"/>
            <w:gridSpan w:val="11"/>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Three Months Ended June 30, 2025</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839"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VITAS</w:t>
            </w:r>
          </w:p>
        </w:tc>
        <w:tc>
          <w:tcPr>
            <w:tcW w:w="88"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256"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Roto-Rooter</w:t>
            </w:r>
          </w:p>
        </w:tc>
        <w:tc>
          <w:tcPr>
            <w:tcW w:w="88"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74"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Corporate</w:t>
            </w:r>
          </w:p>
        </w:tc>
        <w:tc>
          <w:tcPr>
            <w:tcW w:w="88"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355"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Consolidated</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76" w:type="dxa"/>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43" w:type="dxa"/>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11" w:type="dxa"/>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2" w:type="dxa"/>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Stock option expense</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676"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043"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011"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(9,216)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1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(9,216)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Amortization of reacquired franchise agreements</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676"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043"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(2,352)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1011"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1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(2,352)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Long-term incentive compensation</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676"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43"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11"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(853)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4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(853)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480" w:right="0" w:hanging="0"/>
              <w:jc w:val="left"/>
              <w:rPr>
                <w:rFonts w:ascii="Times New Roman" w:hAnsi="Times New Roman"/>
                <w:color w:val="000000"/>
                <w:sz w:val="16"/>
              </w:rPr>
            </w:pPr>
            <w:r>
              <w:rPr>
                <w:rFonts w:ascii="Times New Roman" w:hAnsi="Times New Roman"/>
                <w:color w:val="000000"/>
                <w:sz w:val="16"/>
              </w:rPr>
              <w:t>Pretax impact on earnings</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76" w:type="dxa"/>
            <w:tcBorders>
              <w:top w:val="single" w:sz="8" w:space="0" w:color="000000"/>
            </w:tcBorders>
            <w:tcMar>
              <w:top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43"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(2,352)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11"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(10,069)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2"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(12,421)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Excess tax benefits on stock compensation</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676"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043"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1011"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50 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1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50 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Income tax benefit on the above</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676"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43"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546 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11"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1,597 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4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2,143 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480" w:right="0" w:hanging="0"/>
              <w:jc w:val="left"/>
              <w:rPr>
                <w:rFonts w:ascii="Times New Roman" w:hAnsi="Times New Roman"/>
                <w:color w:val="000000"/>
                <w:sz w:val="16"/>
              </w:rPr>
            </w:pPr>
            <w:r>
              <w:rPr>
                <w:rFonts w:ascii="Times New Roman" w:hAnsi="Times New Roman"/>
                <w:color w:val="000000"/>
                <w:sz w:val="16"/>
              </w:rPr>
              <w:t>After-tax impact on earnings</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676"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043"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(1,806)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011"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(8,422)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14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(10,228)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76"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4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11"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4888" w:type="dxa"/>
            <w:gridSpan w:val="11"/>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Six Months Ended June 30, 2025</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839"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VITAS</w:t>
            </w:r>
          </w:p>
        </w:tc>
        <w:tc>
          <w:tcPr>
            <w:tcW w:w="88"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256"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Roto-Rooter</w:t>
            </w:r>
          </w:p>
        </w:tc>
        <w:tc>
          <w:tcPr>
            <w:tcW w:w="88"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74"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Corporate</w:t>
            </w:r>
          </w:p>
        </w:tc>
        <w:tc>
          <w:tcPr>
            <w:tcW w:w="88"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355"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Consolidated</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76" w:type="dxa"/>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43" w:type="dxa"/>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11" w:type="dxa"/>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2" w:type="dxa"/>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Stock option expense</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676"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043"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011"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(18,307)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1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(18,307)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Amortization of reacquired franchise agreements</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676"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043"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(4,704)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1011"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1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(4,704)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Long-term incentive compensation</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676"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43"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11"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(3,510)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4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(3,510)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480" w:right="0" w:hanging="0"/>
              <w:jc w:val="left"/>
              <w:rPr>
                <w:rFonts w:ascii="Times New Roman" w:hAnsi="Times New Roman"/>
                <w:color w:val="000000"/>
                <w:sz w:val="16"/>
              </w:rPr>
            </w:pPr>
            <w:r>
              <w:rPr>
                <w:rFonts w:ascii="Times New Roman" w:hAnsi="Times New Roman"/>
                <w:color w:val="000000"/>
                <w:sz w:val="16"/>
              </w:rPr>
              <w:t>Pretax impact on earnings</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76" w:type="dxa"/>
            <w:tcBorders>
              <w:top w:val="single" w:sz="8" w:space="0" w:color="000000"/>
            </w:tcBorders>
            <w:tcMar>
              <w:top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43"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(4,704)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11"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(21,817)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2"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(26,521)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Excess tax benefits on stock compensation</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676"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043"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1011"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513 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14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513 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Income tax benefit on the above</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676"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43"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1,091 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11"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3,371 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4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4,462 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480" w:right="0" w:hanging="0"/>
              <w:jc w:val="left"/>
              <w:rPr>
                <w:rFonts w:ascii="Times New Roman" w:hAnsi="Times New Roman"/>
                <w:color w:val="000000"/>
                <w:sz w:val="16"/>
              </w:rPr>
            </w:pPr>
            <w:r>
              <w:rPr>
                <w:rFonts w:ascii="Times New Roman" w:hAnsi="Times New Roman"/>
                <w:color w:val="000000"/>
                <w:sz w:val="16"/>
              </w:rPr>
              <w:t>After-tax impact on earnings</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676"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043"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(3,613)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011"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(17,933)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14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(21,546)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76"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4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11"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2976" w:type="dxa"/>
            <w:tcBorders/>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676" w:type="dxa"/>
            <w:tcBorders/>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043" w:type="dxa"/>
            <w:tcBorders/>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163" w:type="dxa"/>
            <w:tcBorders/>
            <w:vAlign w:val="bottom"/>
          </w:tcPr>
          <w:p>
            <w:pPr>
              <w:pStyle w:val="TableContents"/>
              <w:bidi w:val="0"/>
              <w:spacing w:lineRule="auto" w:line="240" w:before="0" w:after="0"/>
              <w:ind w:left="0" w:right="0" w:hanging="0"/>
              <w:jc w:val="left"/>
              <w:rPr/>
            </w:pPr>
            <w:r>
              <w:rPr/>
              <w:t> </w:t>
            </w:r>
          </w:p>
        </w:tc>
        <w:tc>
          <w:tcPr>
            <w:tcW w:w="1011" w:type="dxa"/>
            <w:tcBorders/>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13" w:type="dxa"/>
            <w:tcBorders/>
            <w:vAlign w:val="bottom"/>
          </w:tcPr>
          <w:p>
            <w:pPr>
              <w:pStyle w:val="TableContents"/>
              <w:bidi w:val="0"/>
              <w:spacing w:lineRule="auto" w:line="240" w:before="0" w:after="0"/>
              <w:ind w:left="0" w:right="0" w:hanging="0"/>
              <w:jc w:val="left"/>
              <w:rPr/>
            </w:pPr>
            <w:r>
              <w:rPr/>
              <w:t> </w:t>
            </w:r>
          </w:p>
        </w:tc>
        <w:tc>
          <w:tcPr>
            <w:tcW w:w="1142" w:type="dxa"/>
            <w:tcBorders/>
            <w:vAlign w:val="bottom"/>
          </w:tcPr>
          <w:p>
            <w:pPr>
              <w:pStyle w:val="TableContents"/>
              <w:bidi w:val="0"/>
              <w:spacing w:lineRule="auto" w:line="240" w:before="0" w:after="0"/>
              <w:ind w:left="0" w:right="0" w:hanging="0"/>
              <w:jc w:val="left"/>
              <w:rPr/>
            </w:pPr>
            <w:r>
              <w:rPr/>
              <w:t> </w:t>
            </w:r>
          </w:p>
        </w:tc>
      </w:tr>
      <w:tr>
        <w:trPr/>
        <w:tc>
          <w:tcPr>
            <w:tcW w:w="193" w:type="dxa"/>
            <w:tcBorders/>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(c)</w:t>
            </w:r>
          </w:p>
        </w:tc>
        <w:tc>
          <w:tcPr>
            <w:tcW w:w="7952" w:type="dxa"/>
            <w:gridSpan w:val="13"/>
            <w:tcBorders/>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VITAS has 13 large (greater than 450 ADC), 24 medium (greater than 200 but less than 450 ADC) and 23 small (less than 200 ADC) hospice programs.  Of Vitas' 33 Medicare provider numbers, for the current cap year, 22 provider numbers have a Medicare cap cushion of greater than 10%, seven provider numbers have a Medicare cap cushion between 0% and 10%, and four provider numbers have a Medicare cap liability.</w:t>
            </w:r>
          </w:p>
        </w:tc>
      </w:tr>
    </w:tbl>
    <w:p>
      <w:pPr>
        <w:pStyle w:val="TextBody"/>
        <w:bidi w:val="0"/>
        <w:spacing w:lineRule="auto" w:line="240" w:before="0" w:after="0"/>
        <w:ind w:left="720" w:right="1340" w:hanging="0"/>
        <w:jc w:val="left"/>
        <w:rPr>
          <w:rFonts w:cs="Times New Roman"/>
          <w:szCs w:val="2"/>
        </w:rPr>
      </w:pPr>
      <w:r>
        <w:rPr>
          <w:rFonts w:cs="Times New Roman"/>
          <w:szCs w:val="2"/>
        </w:rPr>
        <w:t xml:space="preserve">﻿ </w:t>
      </w:r>
    </w:p>
    <w:p>
      <w:pPr>
        <w:pStyle w:val="HorizontalLine"/>
        <w:pBdr>
          <w:bottom w:val="double" w:sz="6" w:space="0" w:color="808080"/>
        </w:pBdr>
        <w:bidi w:val="0"/>
        <w:spacing w:before="0" w:after="283"/>
        <w:ind w:left="720" w:right="134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MS Mincho">
    <w:charset w:val="01"/>
    <w:family w:val="auto"/>
    <w:pitch w:val="default"/>
  </w:font>
  <w:font w:name="Times New Roman">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5473</Words>
  <Characters>30018</Characters>
  <CharactersWithSpaces>38606</CharactersWithSpaces>
  <Paragraphs>5228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