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11-K</w:t>
      </w:r>
    </w:p>
    <w:p>
      <w:pPr>
        <w:spacing w:after="0" w:line="229" w:lineRule="exact"/>
        <w:rPr>
          <w:sz w:val="24"/>
          <w:szCs w:val="24"/>
          <w:color w:val="auto"/>
        </w:rPr>
      </w:pPr>
    </w:p>
    <w:p>
      <w:pPr>
        <w:jc w:val="center"/>
        <w:ind w:left="900"/>
        <w:spacing w:after="0" w:line="255" w:lineRule="auto"/>
        <w:rPr>
          <w:sz w:val="20"/>
          <w:szCs w:val="20"/>
          <w:color w:val="auto"/>
        </w:rPr>
      </w:pPr>
      <w:r>
        <w:rPr>
          <w:rFonts w:ascii="Times New Roman" w:cs="Times New Roman" w:eastAsia="Times New Roman" w:hAnsi="Times New Roman"/>
          <w:sz w:val="18"/>
          <w:szCs w:val="18"/>
          <w:b w:val="1"/>
          <w:bCs w:val="1"/>
          <w:color w:val="auto"/>
        </w:rPr>
        <w:t>For Annual Reports of Employee Stock Purchase, Savings and Similar Plans Pursuant to Section 15(d) of the Securities Exchange Act of 1934</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2" w:lineRule="exact"/>
        <w:rPr>
          <w:sz w:val="24"/>
          <w:szCs w:val="24"/>
          <w:color w:val="auto"/>
        </w:rPr>
      </w:pPr>
    </w:p>
    <w:p>
      <w:pPr>
        <w:ind w:left="640" w:hanging="321"/>
        <w:spacing w:after="0"/>
        <w:tabs>
          <w:tab w:leader="none" w:pos="6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2025</w:t>
      </w:r>
    </w:p>
    <w:p>
      <w:pPr>
        <w:spacing w:after="0" w:line="238" w:lineRule="exact"/>
        <w:rPr>
          <w:rFonts w:ascii="MS PGothic" w:cs="MS PGothic" w:eastAsia="MS PGothic" w:hAnsi="MS PGothic"/>
          <w:sz w:val="18"/>
          <w:szCs w:val="18"/>
          <w:color w:val="auto"/>
        </w:rPr>
      </w:pPr>
    </w:p>
    <w:p>
      <w:pPr>
        <w:ind w:left="660" w:right="2660" w:hanging="328"/>
        <w:spacing w:after="0" w:line="454" w:lineRule="auto"/>
        <w:tabs>
          <w:tab w:leader="none" w:pos="66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1-8351</w:t>
      </w:r>
    </w:p>
    <w:p>
      <w:pPr>
        <w:spacing w:after="0" w:line="26"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plan and the address of the plan, if different from that of the issuer named below:</w:t>
      </w:r>
    </w:p>
    <w:p>
      <w:pPr>
        <w:spacing w:after="0" w:line="194"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CHEMED/ROTO-ROOTER SAVINGS &amp; RETIREMENT PLAN</w:t>
      </w:r>
    </w:p>
    <w:p>
      <w:pPr>
        <w:spacing w:after="0" w:line="202" w:lineRule="exact"/>
        <w:rPr>
          <w:sz w:val="24"/>
          <w:szCs w:val="24"/>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issuer of the securities held pursuant to the plan and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CHEMED CORPORATION</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255 E. Fifth Street, Suite 2600, Cincinnati, Ohio 45202</w:t>
      </w: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(513) 762-6690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97" w:right="5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REQUIRED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Supplemental Schedule for the Chemed/Roto-Rooter Savings and Retirement Plan identified below are being filed with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11-K:</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 AND EXHIBITS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195"/>
        </w:trPr>
        <w:tc>
          <w:tcPr>
            <w:tcW w:w="9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 Financial Statements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5"/>
        </w:trPr>
        <w:tc>
          <w:tcPr>
            <w:tcW w:w="6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87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F-S 1</w:t>
            </w:r>
          </w:p>
        </w:tc>
      </w:tr>
      <w:tr>
        <w:trPr>
          <w:trHeight w:val="18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Statements of Net Assets Available for Benefits at</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F-S 2</w:t>
            </w:r>
          </w:p>
        </w:tc>
      </w:tr>
      <w:tr>
        <w:trPr>
          <w:trHeight w:val="176"/>
        </w:trPr>
        <w:tc>
          <w:tcPr>
            <w:tcW w:w="660" w:type="dxa"/>
            <w:vAlign w:val="bottom"/>
          </w:tcPr>
          <w:p>
            <w:pPr>
              <w:spacing w:after="0"/>
              <w:rPr>
                <w:sz w:val="15"/>
                <w:szCs w:val="15"/>
                <w:color w:val="auto"/>
              </w:rPr>
            </w:pPr>
          </w:p>
        </w:tc>
        <w:tc>
          <w:tcPr>
            <w:tcW w:w="876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December 31, 2025 and 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Statement of Changes in Net Assets Available for Benefits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F-S 3</w:t>
            </w:r>
          </w:p>
        </w:tc>
      </w:tr>
      <w:tr>
        <w:trPr>
          <w:trHeight w:val="176"/>
        </w:trPr>
        <w:tc>
          <w:tcPr>
            <w:tcW w:w="660" w:type="dxa"/>
            <w:vAlign w:val="bottom"/>
          </w:tcPr>
          <w:p>
            <w:pPr>
              <w:spacing w:after="0"/>
              <w:rPr>
                <w:sz w:val="15"/>
                <w:szCs w:val="15"/>
                <w:color w:val="auto"/>
              </w:rPr>
            </w:pPr>
          </w:p>
        </w:tc>
        <w:tc>
          <w:tcPr>
            <w:tcW w:w="876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For the Year Ended December 31, 2025</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Notes to Financial Statements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F-S 4 through F-S 9</w:t>
            </w:r>
          </w:p>
        </w:tc>
      </w:tr>
      <w:tr>
        <w:trPr>
          <w:trHeight w:val="208"/>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6"/>
        </w:trPr>
        <w:tc>
          <w:tcPr>
            <w:tcW w:w="660" w:type="dxa"/>
            <w:vAlign w:val="bottom"/>
          </w:tcPr>
          <w:p>
            <w:pPr>
              <w:spacing w:after="0"/>
              <w:rPr>
                <w:sz w:val="15"/>
                <w:szCs w:val="15"/>
                <w:color w:val="auto"/>
              </w:rPr>
            </w:pPr>
          </w:p>
        </w:tc>
        <w:tc>
          <w:tcPr>
            <w:tcW w:w="876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Schedule I – Schedule of Assets (Held at End of Year)</w:t>
            </w: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F-S 10</w:t>
            </w:r>
          </w:p>
        </w:tc>
      </w:tr>
      <w:tr>
        <w:trPr>
          <w:trHeight w:val="176"/>
        </w:trPr>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w:t>
            </w:r>
          </w:p>
        </w:tc>
        <w:tc>
          <w:tcPr>
            <w:tcW w:w="8760" w:type="dxa"/>
            <w:vAlign w:val="bottom"/>
          </w:tcPr>
          <w:p>
            <w:pPr>
              <w:ind w:left="60"/>
              <w:spacing w:after="0" w:line="176" w:lineRule="exact"/>
              <w:rPr>
                <w:sz w:val="20"/>
                <w:szCs w:val="20"/>
                <w:color w:val="auto"/>
              </w:rPr>
            </w:pPr>
            <w:r>
              <w:rPr>
                <w:rFonts w:ascii="Times New Roman" w:cs="Times New Roman" w:eastAsia="Times New Roman" w:hAnsi="Times New Roman"/>
                <w:sz w:val="16"/>
                <w:szCs w:val="16"/>
                <w:color w:val="auto"/>
              </w:rPr>
              <w:t>Consent of Independent Registered Public Accounting Firm - 2025</w:t>
            </w:r>
          </w:p>
        </w:tc>
        <w:tc>
          <w:tcPr>
            <w:tcW w:w="58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6"/>
                <w:szCs w:val="16"/>
                <w:color w:val="0000FF"/>
                <w:w w:val="99"/>
              </w:rPr>
              <w:t>Exhibit I</w:t>
            </w:r>
          </w:p>
        </w:tc>
        <w:tc>
          <w:tcPr>
            <w:tcW w:w="20" w:type="dxa"/>
            <w:vAlign w:val="bottom"/>
            <w:tcBorders>
              <w:bottom w:val="single" w:sz="8" w:color="0000EE"/>
            </w:tcBorders>
          </w:tcPr>
          <w:p>
            <w:pPr>
              <w:spacing w:after="0"/>
              <w:rPr>
                <w:sz w:val="15"/>
                <w:szCs w:val="15"/>
                <w:color w:val="auto"/>
              </w:rPr>
            </w:pPr>
          </w:p>
        </w:tc>
        <w:tc>
          <w:tcPr>
            <w:tcW w:w="7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9"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Administrative Committee of the Chemed/Roto-Rooter Savings and Retirement Plan has caused this annual report to be signed by the undersigned hereunto duly authorized.</w:t>
      </w:r>
    </w:p>
    <w:p>
      <w:pPr>
        <w:spacing w:after="0" w:line="342"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June 24, 2026</w:t>
      </w:r>
      <w:r>
        <w:rPr>
          <w:sz w:val="20"/>
          <w:szCs w:val="20"/>
          <w:color w:val="auto"/>
        </w:rPr>
        <w:tab/>
      </w:r>
      <w:r>
        <w:rPr>
          <w:rFonts w:ascii="Times New Roman" w:cs="Times New Roman" w:eastAsia="Times New Roman" w:hAnsi="Times New Roman"/>
          <w:sz w:val="15"/>
          <w:szCs w:val="15"/>
          <w:color w:val="auto"/>
        </w:rPr>
        <w:t>CHEMED/ROTO-ROOTER SAVINGS &amp; RETIREMENT PLAN</w:t>
      </w:r>
    </w:p>
    <w:p>
      <w:pPr>
        <w:spacing w:after="0" w:line="3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u w:val="single" w:color="auto"/>
          <w:color w:val="auto"/>
        </w:rPr>
        <w:t>Jeff Finke</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Jeff Finke</w:t>
      </w:r>
    </w:p>
    <w:p>
      <w:pPr>
        <w:spacing w:after="0" w:line="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Plan Participants, Plan Administrator, and Investment Committee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Chemed/Roto-Rooter Savings and Retirement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48" w:lineRule="exact"/>
        <w:rPr>
          <w:sz w:val="20"/>
          <w:szCs w:val="20"/>
          <w:color w:val="auto"/>
        </w:rPr>
      </w:pPr>
    </w:p>
    <w:p>
      <w:pPr>
        <w:ind w:right="20"/>
        <w:spacing w:after="0" w:line="316"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of the Chemed/Roto-Rooter Savings and Retirement Plan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6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applicable rules and regulations of the Securities and Exchange Commission and the PCAOB.</w:t>
      </w:r>
    </w:p>
    <w:p>
      <w:pPr>
        <w:spacing w:after="0" w:line="205" w:lineRule="exact"/>
        <w:rPr>
          <w:sz w:val="20"/>
          <w:szCs w:val="20"/>
          <w:color w:val="auto"/>
        </w:rPr>
      </w:pPr>
    </w:p>
    <w:p>
      <w:pPr>
        <w:ind w:right="60"/>
        <w:spacing w:after="0" w:line="31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6" w:lineRule="exact"/>
        <w:rPr>
          <w:sz w:val="20"/>
          <w:szCs w:val="20"/>
          <w:color w:val="auto"/>
        </w:rPr>
      </w:pPr>
    </w:p>
    <w:p>
      <w:pPr>
        <w:jc w:val="both"/>
        <w:ind w:right="40"/>
        <w:spacing w:after="0" w:line="316"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p>
      <w:pPr>
        <w:spacing w:after="0" w:line="6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supplemental information contained in the 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Clark, Schaefer, Hackett &amp; Co.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Plan’s auditor since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Cincinnati, Ohio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640" w:type="dxa"/>
            <w:vAlign w:val="bottom"/>
            <w:tcBorders>
              <w:bottom w:val="single" w:sz="8" w:color="auto"/>
            </w:tcBorders>
            <w:gridSpan w:val="3"/>
          </w:tcPr>
          <w:p>
            <w:pPr>
              <w:jc w:val="center"/>
              <w:ind w:left="1121"/>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1220" w:type="dxa"/>
            <w:vAlign w:val="bottom"/>
            <w:tcBorders>
              <w:bottom w:val="single" w:sz="8" w:color="auto"/>
            </w:tcBorders>
          </w:tcPr>
          <w:p>
            <w:pPr>
              <w:spacing w:after="0"/>
              <w:rPr>
                <w:sz w:val="22"/>
                <w:szCs w:val="22"/>
                <w:color w:val="auto"/>
              </w:rPr>
            </w:pPr>
          </w:p>
        </w:tc>
      </w:tr>
      <w:tr>
        <w:trPr>
          <w:trHeight w:val="250"/>
        </w:trPr>
        <w:tc>
          <w:tcPr>
            <w:tcW w:w="5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526"/>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1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Chemed Corporation common stock</w:t>
            </w:r>
          </w:p>
        </w:tc>
        <w:tc>
          <w:tcPr>
            <w:tcW w:w="18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19,340,445</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26,320,216</w:t>
            </w:r>
          </w:p>
        </w:tc>
      </w:tr>
      <w:tr>
        <w:trPr>
          <w:trHeight w:val="270"/>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Mutual funds</w:t>
            </w:r>
          </w:p>
        </w:tc>
        <w:tc>
          <w:tcPr>
            <w:tcW w:w="18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356,138,989</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320,030,696</w:t>
            </w:r>
          </w:p>
        </w:tc>
      </w:tr>
      <w:tr>
        <w:trPr>
          <w:trHeight w:val="264"/>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Collective trust fund</w:t>
            </w:r>
          </w:p>
        </w:tc>
        <w:tc>
          <w:tcPr>
            <w:tcW w:w="18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12,960,477</w:t>
            </w:r>
          </w:p>
        </w:tc>
        <w:tc>
          <w:tcPr>
            <w:tcW w:w="2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12,373,763</w:t>
            </w:r>
          </w:p>
        </w:tc>
      </w:tr>
      <w:tr>
        <w:trPr>
          <w:trHeight w:val="250"/>
        </w:trPr>
        <w:tc>
          <w:tcPr>
            <w:tcW w:w="5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Total investments</w:t>
            </w:r>
          </w:p>
        </w:tc>
        <w:tc>
          <w:tcPr>
            <w:tcW w:w="180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388,439,911</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358,724,675</w:t>
            </w:r>
          </w:p>
        </w:tc>
      </w:tr>
      <w:tr>
        <w:trPr>
          <w:trHeight w:val="256"/>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Receivables:</w:t>
            </w:r>
          </w:p>
        </w:tc>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18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9,176,737</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8,889,013</w:t>
            </w:r>
          </w:p>
        </w:tc>
      </w:tr>
      <w:tr>
        <w:trPr>
          <w:trHeight w:val="270"/>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Employer contributions</w:t>
            </w:r>
          </w:p>
        </w:tc>
        <w:tc>
          <w:tcPr>
            <w:tcW w:w="18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3,685,125</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3,439,701</w:t>
            </w:r>
          </w:p>
        </w:tc>
      </w:tr>
      <w:tr>
        <w:trPr>
          <w:trHeight w:val="264"/>
        </w:trPr>
        <w:tc>
          <w:tcPr>
            <w:tcW w:w="5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Accrued interest and dividends</w:t>
            </w:r>
          </w:p>
        </w:tc>
        <w:tc>
          <w:tcPr>
            <w:tcW w:w="18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16,586</w:t>
            </w:r>
          </w:p>
        </w:tc>
        <w:tc>
          <w:tcPr>
            <w:tcW w:w="2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13,921</w:t>
            </w:r>
          </w:p>
        </w:tc>
      </w:tr>
      <w:tr>
        <w:trPr>
          <w:trHeight w:val="250"/>
        </w:trPr>
        <w:tc>
          <w:tcPr>
            <w:tcW w:w="5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Total receivables</w:t>
            </w:r>
          </w:p>
        </w:tc>
        <w:tc>
          <w:tcPr>
            <w:tcW w:w="180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12,878,448</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12,342,635</w:t>
            </w:r>
          </w:p>
        </w:tc>
      </w:tr>
      <w:tr>
        <w:trPr>
          <w:trHeight w:val="25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w:t>
            </w:r>
          </w:p>
        </w:tc>
        <w:tc>
          <w:tcPr>
            <w:tcW w:w="180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6,990</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5,066</w:t>
            </w:r>
          </w:p>
        </w:tc>
      </w:tr>
      <w:tr>
        <w:trPr>
          <w:trHeight w:val="256"/>
        </w:trPr>
        <w:tc>
          <w:tcPr>
            <w:tcW w:w="5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Total assets</w:t>
            </w:r>
          </w:p>
        </w:tc>
        <w:tc>
          <w:tcPr>
            <w:tcW w:w="18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401,325,349</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371,072,376</w:t>
            </w:r>
          </w:p>
        </w:tc>
      </w:tr>
      <w:tr>
        <w:trPr>
          <w:trHeight w:val="27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8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4"/>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expenses</w:t>
            </w:r>
          </w:p>
        </w:tc>
        <w:tc>
          <w:tcPr>
            <w:tcW w:w="18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6,022</w:t>
            </w:r>
          </w:p>
        </w:tc>
        <w:tc>
          <w:tcPr>
            <w:tcW w:w="2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4,099</w:t>
            </w:r>
          </w:p>
        </w:tc>
      </w:tr>
      <w:tr>
        <w:trPr>
          <w:trHeight w:val="250"/>
        </w:trPr>
        <w:tc>
          <w:tcPr>
            <w:tcW w:w="5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Net assets available for benefits, at fair value</w:t>
            </w:r>
          </w:p>
        </w:tc>
        <w:tc>
          <w:tcPr>
            <w:tcW w:w="18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401,319,327</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371,068,277</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w:t>
            </w:r>
          </w:p>
        </w:tc>
      </w:tr>
      <w:tr>
        <w:trPr>
          <w:trHeight w:val="264"/>
        </w:trPr>
        <w:tc>
          <w:tcPr>
            <w:tcW w:w="63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0"/>
        </w:trPr>
        <w:tc>
          <w:tcPr>
            <w:tcW w:w="6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r>
      <w:tr>
        <w:trPr>
          <w:trHeight w:val="52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2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70"/>
        </w:trPr>
        <w:tc>
          <w:tcPr>
            <w:tcW w:w="63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Employer</w:t>
            </w:r>
          </w:p>
        </w:tc>
        <w:tc>
          <w:tcPr>
            <w:tcW w:w="2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10,004,947</w:t>
            </w:r>
          </w:p>
        </w:tc>
      </w:tr>
      <w:tr>
        <w:trPr>
          <w:trHeight w:val="270"/>
        </w:trPr>
        <w:tc>
          <w:tcPr>
            <w:tcW w:w="63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Participant</w:t>
            </w:r>
          </w:p>
        </w:tc>
        <w:tc>
          <w:tcPr>
            <w:tcW w:w="246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16,427,818</w:t>
            </w:r>
          </w:p>
        </w:tc>
      </w:tr>
      <w:tr>
        <w:trPr>
          <w:trHeight w:val="264"/>
        </w:trPr>
        <w:tc>
          <w:tcPr>
            <w:tcW w:w="63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Rollovers</w:t>
            </w:r>
          </w:p>
        </w:tc>
        <w:tc>
          <w:tcPr>
            <w:tcW w:w="2460" w:type="dxa"/>
            <w:vAlign w:val="bottom"/>
          </w:tcPr>
          <w:p>
            <w:pPr>
              <w:spacing w:after="0"/>
              <w:rPr>
                <w:sz w:val="22"/>
                <w:szCs w:val="22"/>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210,440</w:t>
            </w:r>
          </w:p>
        </w:tc>
      </w:tr>
      <w:tr>
        <w:trPr>
          <w:trHeight w:val="250"/>
        </w:trPr>
        <w:tc>
          <w:tcPr>
            <w:tcW w:w="6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26,643,205</w:t>
            </w:r>
          </w:p>
        </w:tc>
      </w:tr>
      <w:tr>
        <w:trPr>
          <w:trHeight w:val="52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2460" w:type="dxa"/>
            <w:vAlign w:val="bottom"/>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731,936</w:t>
            </w:r>
          </w:p>
        </w:tc>
      </w:tr>
      <w:tr>
        <w:trPr>
          <w:trHeight w:val="52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income:</w:t>
            </w:r>
          </w:p>
        </w:tc>
        <w:tc>
          <w:tcPr>
            <w:tcW w:w="2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70"/>
        </w:trPr>
        <w:tc>
          <w:tcPr>
            <w:tcW w:w="63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Net realized and unrealized gain on investments</w:t>
            </w:r>
          </w:p>
        </w:tc>
        <w:tc>
          <w:tcPr>
            <w:tcW w:w="246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24,382,009</w:t>
            </w:r>
          </w:p>
        </w:tc>
      </w:tr>
      <w:tr>
        <w:trPr>
          <w:trHeight w:val="264"/>
        </w:trPr>
        <w:tc>
          <w:tcPr>
            <w:tcW w:w="63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Dividends and other income</w:t>
            </w:r>
          </w:p>
        </w:tc>
        <w:tc>
          <w:tcPr>
            <w:tcW w:w="2460" w:type="dxa"/>
            <w:vAlign w:val="bottom"/>
          </w:tcPr>
          <w:p>
            <w:pPr>
              <w:spacing w:after="0"/>
              <w:rPr>
                <w:sz w:val="22"/>
                <w:szCs w:val="22"/>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21,355,597</w:t>
            </w:r>
          </w:p>
        </w:tc>
      </w:tr>
      <w:tr>
        <w:trPr>
          <w:trHeight w:val="250"/>
        </w:trPr>
        <w:tc>
          <w:tcPr>
            <w:tcW w:w="6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45,737,606</w:t>
            </w:r>
          </w:p>
        </w:tc>
      </w:tr>
      <w:tr>
        <w:trPr>
          <w:trHeight w:val="79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4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(42,661,387)</w:t>
            </w:r>
          </w:p>
        </w:tc>
      </w:tr>
      <w:tr>
        <w:trPr>
          <w:trHeight w:val="26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2460" w:type="dxa"/>
            <w:vAlign w:val="bottom"/>
          </w:tcPr>
          <w:p>
            <w:pPr>
              <w:spacing w:after="0"/>
              <w:rPr>
                <w:sz w:val="22"/>
                <w:szCs w:val="22"/>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(200,310)</w:t>
            </w:r>
          </w:p>
        </w:tc>
      </w:tr>
      <w:tr>
        <w:trPr>
          <w:trHeight w:val="250"/>
        </w:trPr>
        <w:tc>
          <w:tcPr>
            <w:tcW w:w="6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(42,861,697)</w:t>
            </w:r>
          </w:p>
        </w:tc>
      </w:tr>
      <w:tr>
        <w:trPr>
          <w:trHeight w:val="526"/>
        </w:trPr>
        <w:tc>
          <w:tcPr>
            <w:tcW w:w="63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Increase in net assets</w:t>
            </w:r>
          </w:p>
        </w:tc>
        <w:tc>
          <w:tcPr>
            <w:tcW w:w="24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30,251,050</w:t>
            </w:r>
          </w:p>
        </w:tc>
      </w:tr>
      <w:tr>
        <w:trPr>
          <w:trHeight w:val="54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64"/>
        </w:trPr>
        <w:tc>
          <w:tcPr>
            <w:tcW w:w="6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Beginning of year</w:t>
            </w:r>
          </w:p>
        </w:tc>
        <w:tc>
          <w:tcPr>
            <w:tcW w:w="2460" w:type="dxa"/>
            <w:vAlign w:val="bottom"/>
          </w:tcPr>
          <w:p>
            <w:pPr>
              <w:spacing w:after="0"/>
              <w:rPr>
                <w:sz w:val="22"/>
                <w:szCs w:val="22"/>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371,068,277</w:t>
            </w:r>
          </w:p>
        </w:tc>
      </w:tr>
      <w:tr>
        <w:trPr>
          <w:trHeight w:val="250"/>
        </w:trPr>
        <w:tc>
          <w:tcPr>
            <w:tcW w:w="6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End of year</w:t>
            </w:r>
          </w:p>
        </w:tc>
        <w:tc>
          <w:tcPr>
            <w:tcW w:w="2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401,319,327</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0" w:hanging="401"/>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Description of the Plan</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Overview and Eligibility</w:t>
      </w:r>
    </w:p>
    <w:p>
      <w:pPr>
        <w:ind w:left="460" w:right="20"/>
        <w:spacing w:after="0" w:line="203" w:lineRule="auto"/>
        <w:rPr>
          <w:sz w:val="20"/>
          <w:szCs w:val="20"/>
          <w:color w:val="auto"/>
        </w:rPr>
      </w:pPr>
      <w:r>
        <w:rPr>
          <w:rFonts w:ascii="Times New Roman" w:cs="Times New Roman" w:eastAsia="Times New Roman" w:hAnsi="Times New Roman"/>
          <w:sz w:val="18"/>
          <w:szCs w:val="18"/>
          <w:color w:val="auto"/>
        </w:rPr>
        <w:t>Chemed Corporation, as the Plan Administrator, adopted the Chemed/Roto-Rooter Savings &amp; Retirement Plan (the "Plan"). The Plan is a defined contribution plan available to all full-time employees of participating units of Chemed Corporation (the "Company"), except those covered by</w:t>
      </w:r>
    </w:p>
    <w:p>
      <w:pPr>
        <w:spacing w:after="0" w:line="1" w:lineRule="exact"/>
        <w:rPr>
          <w:sz w:val="20"/>
          <w:szCs w:val="20"/>
          <w:color w:val="auto"/>
        </w:rPr>
      </w:pPr>
    </w:p>
    <w:p>
      <w:pPr>
        <w:ind w:left="460" w:right="20"/>
        <w:spacing w:after="0" w:line="195" w:lineRule="auto"/>
        <w:rPr>
          <w:sz w:val="20"/>
          <w:szCs w:val="20"/>
          <w:color w:val="auto"/>
        </w:rPr>
      </w:pPr>
      <w:r>
        <w:rPr>
          <w:rFonts w:ascii="Times New Roman" w:cs="Times New Roman" w:eastAsia="Times New Roman" w:hAnsi="Times New Roman"/>
          <w:sz w:val="18"/>
          <w:szCs w:val="18"/>
          <w:color w:val="auto"/>
        </w:rPr>
        <w:t>collective bargaining agreements, who have completed at least 500 hours of service in any six months of continuous service. The following summary provides an overview of major Plan provisions and is provided for general informational purposes. Participants should refer to the Plan</w:t>
      </w:r>
    </w:p>
    <w:p>
      <w:pPr>
        <w:spacing w:after="0" w:line="1" w:lineRule="exact"/>
        <w:rPr>
          <w:sz w:val="20"/>
          <w:szCs w:val="20"/>
          <w:color w:val="auto"/>
        </w:rPr>
      </w:pPr>
    </w:p>
    <w:p>
      <w:pPr>
        <w:ind w:left="460" w:right="20"/>
        <w:spacing w:after="0" w:line="226" w:lineRule="auto"/>
        <w:rPr>
          <w:sz w:val="20"/>
          <w:szCs w:val="20"/>
          <w:color w:val="auto"/>
        </w:rPr>
      </w:pPr>
      <w:r>
        <w:rPr>
          <w:rFonts w:ascii="Times New Roman" w:cs="Times New Roman" w:eastAsia="Times New Roman" w:hAnsi="Times New Roman"/>
          <w:sz w:val="18"/>
          <w:szCs w:val="18"/>
          <w:color w:val="auto"/>
        </w:rPr>
        <w:t>document for more complete information and a full description of the Plan provisions and qualifications. The Plan is subject to the provisions of the Employee Retirement Income Security Act of 1974, as amended ("ERISA").</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Contributions</w:t>
      </w:r>
    </w:p>
    <w:p>
      <w:pPr>
        <w:ind w:left="460" w:right="20"/>
        <w:spacing w:after="0" w:line="203" w:lineRule="auto"/>
        <w:rPr>
          <w:sz w:val="20"/>
          <w:szCs w:val="20"/>
          <w:color w:val="auto"/>
        </w:rPr>
      </w:pPr>
      <w:r>
        <w:rPr>
          <w:rFonts w:ascii="Times New Roman" w:cs="Times New Roman" w:eastAsia="Times New Roman" w:hAnsi="Times New Roman"/>
          <w:sz w:val="18"/>
          <w:szCs w:val="18"/>
          <w:color w:val="auto"/>
        </w:rPr>
        <w:t>Employee contributions may be made from before-tax earnings, which has the effect of reducing current taxable earnings for federal income tax purposes, and/or after tax earnings. In any Plan year, an employee may contribute up to a maximum of 85% of his or her included compensation, as</w:t>
      </w:r>
    </w:p>
    <w:p>
      <w:pPr>
        <w:spacing w:after="0" w:line="1" w:lineRule="exact"/>
        <w:rPr>
          <w:sz w:val="20"/>
          <w:szCs w:val="20"/>
          <w:color w:val="auto"/>
        </w:rPr>
      </w:pPr>
    </w:p>
    <w:p>
      <w:pPr>
        <w:ind w:left="460" w:right="20"/>
        <w:spacing w:after="0" w:line="195" w:lineRule="auto"/>
        <w:rPr>
          <w:sz w:val="20"/>
          <w:szCs w:val="20"/>
          <w:color w:val="auto"/>
        </w:rPr>
      </w:pPr>
      <w:r>
        <w:rPr>
          <w:rFonts w:ascii="Times New Roman" w:cs="Times New Roman" w:eastAsia="Times New Roman" w:hAnsi="Times New Roman"/>
          <w:sz w:val="18"/>
          <w:szCs w:val="18"/>
          <w:color w:val="auto"/>
        </w:rPr>
        <w:t>defined, or the maximum allowed by the Internal Revenue Code, as amended ("IRC"), whichever is less ("Basic Contribution"). For the Plan year 2025, the IRC limit on before-tax contributions was $23,500. In addition, eligible employees who have attained age 50 prior to the close of the Plan</w:t>
      </w:r>
    </w:p>
    <w:p>
      <w:pPr>
        <w:ind w:left="460"/>
        <w:spacing w:after="0" w:line="204" w:lineRule="auto"/>
        <w:rPr>
          <w:sz w:val="20"/>
          <w:szCs w:val="20"/>
          <w:color w:val="auto"/>
        </w:rPr>
      </w:pPr>
      <w:r>
        <w:rPr>
          <w:rFonts w:ascii="Times New Roman" w:cs="Times New Roman" w:eastAsia="Times New Roman" w:hAnsi="Times New Roman"/>
          <w:sz w:val="18"/>
          <w:szCs w:val="18"/>
          <w:color w:val="auto"/>
        </w:rPr>
        <w:t>year are eligible to make a catch-up contribution of $7,500. Employee contributions are made through payroll deductions. The Company, on a</w:t>
      </w:r>
    </w:p>
    <w:p>
      <w:pPr>
        <w:spacing w:after="0" w:line="1" w:lineRule="exact"/>
        <w:rPr>
          <w:sz w:val="20"/>
          <w:szCs w:val="20"/>
          <w:color w:val="auto"/>
        </w:rPr>
      </w:pPr>
    </w:p>
    <w:p>
      <w:pPr>
        <w:ind w:left="460"/>
        <w:spacing w:after="0" w:line="195" w:lineRule="auto"/>
        <w:rPr>
          <w:sz w:val="20"/>
          <w:szCs w:val="20"/>
          <w:color w:val="auto"/>
        </w:rPr>
      </w:pPr>
      <w:r>
        <w:rPr>
          <w:rFonts w:ascii="Times New Roman" w:cs="Times New Roman" w:eastAsia="Times New Roman" w:hAnsi="Times New Roman"/>
          <w:sz w:val="18"/>
          <w:szCs w:val="18"/>
          <w:color w:val="auto"/>
        </w:rPr>
        <w:t>participating unit basis, may elect to make contributions ("Qualified Matching Contribution") to the Plan on the first 6% of employees’ basic contribution. The Company may also elect to make discretionary contributions (“Qualified Nonelective Contribution”). The Company made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discretionary contributions of $4,993,888 and $4,868,290 for the years ended December 31, 2025 and 2024, respectively.</w:t>
      </w:r>
    </w:p>
    <w:p>
      <w:pPr>
        <w:spacing w:after="0" w:line="111" w:lineRule="exact"/>
        <w:rPr>
          <w:sz w:val="20"/>
          <w:szCs w:val="20"/>
          <w:color w:val="auto"/>
        </w:rPr>
      </w:pPr>
    </w:p>
    <w:p>
      <w:pPr>
        <w:ind w:left="460" w:right="20"/>
        <w:spacing w:after="0" w:line="237" w:lineRule="auto"/>
        <w:rPr>
          <w:sz w:val="20"/>
          <w:szCs w:val="20"/>
          <w:color w:val="auto"/>
        </w:rPr>
      </w:pPr>
      <w:r>
        <w:rPr>
          <w:rFonts w:ascii="Times New Roman" w:cs="Times New Roman" w:eastAsia="Times New Roman" w:hAnsi="Times New Roman"/>
          <w:sz w:val="18"/>
          <w:szCs w:val="18"/>
          <w:color w:val="auto"/>
        </w:rPr>
        <w:t>The Plan limits covered compensation for purposes of determining Basic and Matching Contributions to $350,000 for the Plan year ended December 31, 2025. All contributions are subject to limitations imposed by the IRC and ERISA.</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 Accounts</w:t>
      </w:r>
    </w:p>
    <w:p>
      <w:pPr>
        <w:spacing w:after="0" w:line="6" w:lineRule="exact"/>
        <w:rPr>
          <w:sz w:val="20"/>
          <w:szCs w:val="20"/>
          <w:color w:val="auto"/>
        </w:rPr>
      </w:pPr>
    </w:p>
    <w:p>
      <w:pPr>
        <w:ind w:left="460"/>
        <w:spacing w:after="0" w:line="195" w:lineRule="auto"/>
        <w:rPr>
          <w:sz w:val="20"/>
          <w:szCs w:val="20"/>
          <w:color w:val="auto"/>
        </w:rPr>
      </w:pPr>
      <w:r>
        <w:rPr>
          <w:rFonts w:ascii="Times New Roman" w:cs="Times New Roman" w:eastAsia="Times New Roman" w:hAnsi="Times New Roman"/>
          <w:sz w:val="18"/>
          <w:szCs w:val="18"/>
          <w:color w:val="auto"/>
        </w:rPr>
        <w:t>Individual participant accounts are maintained for each Plan participant. Each participant’s account is credited with the participant’s contributions, the Company match if applicable, an allocation of Plan earnings, and charged with withdrawals and an allocation of Plan losses and administrative</w:t>
      </w:r>
    </w:p>
    <w:p>
      <w:pPr>
        <w:spacing w:after="0" w:line="1" w:lineRule="exact"/>
        <w:rPr>
          <w:sz w:val="20"/>
          <w:szCs w:val="20"/>
          <w:color w:val="auto"/>
        </w:rPr>
      </w:pPr>
    </w:p>
    <w:p>
      <w:pPr>
        <w:ind w:left="460" w:right="20"/>
        <w:spacing w:after="0" w:line="218" w:lineRule="auto"/>
        <w:rPr>
          <w:sz w:val="20"/>
          <w:szCs w:val="20"/>
          <w:color w:val="auto"/>
        </w:rPr>
      </w:pPr>
      <w:r>
        <w:rPr>
          <w:rFonts w:ascii="Times New Roman" w:cs="Times New Roman" w:eastAsia="Times New Roman" w:hAnsi="Times New Roman"/>
          <w:sz w:val="18"/>
          <w:szCs w:val="18"/>
          <w:color w:val="auto"/>
        </w:rPr>
        <w:t>expenses. Allocations are based on participant earnings or account balances, as defined. The Plan benefit to which a participant is entitled is the benefit that can be provided from the participant’s account.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Vesting and Forfeitures</w:t>
      </w:r>
    </w:p>
    <w:p>
      <w:pPr>
        <w:jc w:val="both"/>
        <w:ind w:left="460" w:right="20"/>
        <w:spacing w:after="0" w:line="203" w:lineRule="auto"/>
        <w:rPr>
          <w:sz w:val="20"/>
          <w:szCs w:val="20"/>
          <w:color w:val="auto"/>
        </w:rPr>
      </w:pPr>
      <w:r>
        <w:rPr>
          <w:rFonts w:ascii="Times New Roman" w:cs="Times New Roman" w:eastAsia="Times New Roman" w:hAnsi="Times New Roman"/>
          <w:sz w:val="18"/>
          <w:szCs w:val="18"/>
          <w:color w:val="auto"/>
        </w:rPr>
        <w:t>Participants are immediately vested in their Basic Contributions and any earnings or losses thereon. Vesting in the employer’s Matching Contributions occurs in annual 20% increments after two years of service and participants are fully vested after six years of service. Additionally,</w:t>
      </w:r>
    </w:p>
    <w:p>
      <w:pPr>
        <w:spacing w:after="0" w:line="1" w:lineRule="exact"/>
        <w:rPr>
          <w:sz w:val="20"/>
          <w:szCs w:val="20"/>
          <w:color w:val="auto"/>
        </w:rPr>
      </w:pPr>
    </w:p>
    <w:p>
      <w:pPr>
        <w:ind w:left="460"/>
        <w:spacing w:after="0" w:line="195" w:lineRule="auto"/>
        <w:rPr>
          <w:sz w:val="20"/>
          <w:szCs w:val="20"/>
          <w:color w:val="auto"/>
        </w:rPr>
      </w:pPr>
      <w:r>
        <w:rPr>
          <w:rFonts w:ascii="Times New Roman" w:cs="Times New Roman" w:eastAsia="Times New Roman" w:hAnsi="Times New Roman"/>
          <w:sz w:val="18"/>
          <w:szCs w:val="18"/>
          <w:color w:val="auto"/>
        </w:rPr>
        <w:t>all participants of the Plan are fully vested in employer contributions upon normal retirement, death or total permanent disability incurred while employed. Participants who forfeit amounts under the Plan are permitted to restore the amount of such forfeiture by paying the Plan, subject to</w:t>
      </w:r>
    </w:p>
    <w:p>
      <w:pPr>
        <w:spacing w:after="0" w:line="1" w:lineRule="exact"/>
        <w:rPr>
          <w:sz w:val="20"/>
          <w:szCs w:val="20"/>
          <w:color w:val="auto"/>
        </w:rPr>
      </w:pPr>
    </w:p>
    <w:p>
      <w:pPr>
        <w:ind w:left="460" w:right="20"/>
        <w:spacing w:after="0" w:line="195" w:lineRule="auto"/>
        <w:rPr>
          <w:sz w:val="20"/>
          <w:szCs w:val="20"/>
          <w:color w:val="auto"/>
        </w:rPr>
      </w:pPr>
      <w:r>
        <w:rPr>
          <w:rFonts w:ascii="Times New Roman" w:cs="Times New Roman" w:eastAsia="Times New Roman" w:hAnsi="Times New Roman"/>
          <w:sz w:val="18"/>
          <w:szCs w:val="18"/>
          <w:color w:val="auto"/>
        </w:rPr>
        <w:t>certain limitations, the entire withdrawn amount which gave rise to the forfeiture. Forfeitures are not permitted to be restored to the participants’ accounts after the occurrence of five consecutive one year breaks-in-service. The Company may elect to use forfeitures to pay Plan administrative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expenses or to reduce Qualified Nonelective Contributions and Qualified Matching Contributions.</w:t>
      </w:r>
    </w:p>
    <w:p>
      <w:pPr>
        <w:spacing w:after="0" w:line="124" w:lineRule="exact"/>
        <w:rPr>
          <w:sz w:val="20"/>
          <w:szCs w:val="20"/>
          <w:color w:val="auto"/>
        </w:rPr>
      </w:pPr>
    </w:p>
    <w:p>
      <w:pPr>
        <w:ind w:left="460" w:right="60"/>
        <w:spacing w:after="0" w:line="250" w:lineRule="auto"/>
        <w:rPr>
          <w:sz w:val="20"/>
          <w:szCs w:val="20"/>
          <w:color w:val="auto"/>
        </w:rPr>
      </w:pPr>
      <w:r>
        <w:rPr>
          <w:rFonts w:ascii="Times New Roman" w:cs="Times New Roman" w:eastAsia="Times New Roman" w:hAnsi="Times New Roman"/>
          <w:sz w:val="18"/>
          <w:szCs w:val="18"/>
          <w:color w:val="auto"/>
        </w:rPr>
        <w:t>At December 31, 2025 and 2024, the forfeited account totaled $1,308,763 and $1,428,589, respectively, which was used to reduce the year end employer contributions receivable.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Options</w:t>
      </w:r>
    </w:p>
    <w:p>
      <w:pPr>
        <w:spacing w:after="0" w:line="6" w:lineRule="exact"/>
        <w:rPr>
          <w:sz w:val="20"/>
          <w:szCs w:val="20"/>
          <w:color w:val="auto"/>
        </w:rPr>
      </w:pPr>
    </w:p>
    <w:p>
      <w:pPr>
        <w:ind w:left="460" w:right="80"/>
        <w:spacing w:after="0" w:line="203" w:lineRule="auto"/>
        <w:rPr>
          <w:sz w:val="20"/>
          <w:szCs w:val="20"/>
          <w:color w:val="auto"/>
        </w:rPr>
      </w:pPr>
      <w:r>
        <w:rPr>
          <w:rFonts w:ascii="Times New Roman" w:cs="Times New Roman" w:eastAsia="Times New Roman" w:hAnsi="Times New Roman"/>
          <w:sz w:val="18"/>
          <w:szCs w:val="18"/>
          <w:color w:val="auto"/>
        </w:rPr>
        <w:t>Investment of employee contributions is made in accordance with employee elections and stipulated Plan provisions. Beginning January 1, 1999, the Plan appointed Merrill Lynch, who was subsequently acquired by Bank of America, N.A., as trustee and currently offers participants the ability</w:t>
      </w:r>
    </w:p>
    <w:p>
      <w:pPr>
        <w:spacing w:after="0" w:line="1" w:lineRule="exact"/>
        <w:rPr>
          <w:sz w:val="20"/>
          <w:szCs w:val="20"/>
          <w:color w:val="auto"/>
        </w:rPr>
      </w:pPr>
    </w:p>
    <w:p>
      <w:pPr>
        <w:ind w:left="460" w:right="80"/>
        <w:spacing w:after="0" w:line="195" w:lineRule="auto"/>
        <w:rPr>
          <w:sz w:val="20"/>
          <w:szCs w:val="20"/>
          <w:color w:val="auto"/>
        </w:rPr>
      </w:pPr>
      <w:r>
        <w:rPr>
          <w:rFonts w:ascii="Times New Roman" w:cs="Times New Roman" w:eastAsia="Times New Roman" w:hAnsi="Times New Roman"/>
          <w:sz w:val="18"/>
          <w:szCs w:val="18"/>
          <w:color w:val="auto"/>
        </w:rPr>
        <w:t>to invest contribution amounts in various mutual fund options, a stable value collective trust fund and Chemed Corporation stock. Purchases of Chemed Corporation stock are made by the Plan’s trustee on the open market. Investment in Chemed Corporation stock is limited to 20% of a</w:t>
      </w:r>
    </w:p>
    <w:p>
      <w:pPr>
        <w:spacing w:after="0" w:line="1" w:lineRule="exact"/>
        <w:rPr>
          <w:sz w:val="20"/>
          <w:szCs w:val="20"/>
          <w:color w:val="auto"/>
        </w:rPr>
      </w:pPr>
    </w:p>
    <w:p>
      <w:pPr>
        <w:ind w:left="460" w:right="80"/>
        <w:spacing w:after="0" w:line="226" w:lineRule="auto"/>
        <w:rPr>
          <w:sz w:val="20"/>
          <w:szCs w:val="20"/>
          <w:color w:val="auto"/>
        </w:rPr>
      </w:pPr>
      <w:r>
        <w:rPr>
          <w:rFonts w:ascii="Times New Roman" w:cs="Times New Roman" w:eastAsia="Times New Roman" w:hAnsi="Times New Roman"/>
          <w:sz w:val="18"/>
          <w:szCs w:val="18"/>
          <w:color w:val="auto"/>
        </w:rPr>
        <w:t>participant’s total account balance. Employer contributions are invested in the same manner and allocation as the employee contributions. The Plan allows participants to transfer funds among the various investment options.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Notes Receivable from Participants</w:t>
      </w:r>
    </w:p>
    <w:p>
      <w:pPr>
        <w:spacing w:after="0" w:line="6" w:lineRule="exact"/>
        <w:rPr>
          <w:sz w:val="20"/>
          <w:szCs w:val="20"/>
          <w:color w:val="auto"/>
        </w:rPr>
      </w:pPr>
    </w:p>
    <w:p>
      <w:pPr>
        <w:ind w:left="460" w:right="80"/>
        <w:spacing w:after="0" w:line="203" w:lineRule="auto"/>
        <w:rPr>
          <w:sz w:val="20"/>
          <w:szCs w:val="20"/>
          <w:color w:val="auto"/>
        </w:rPr>
      </w:pPr>
      <w:r>
        <w:rPr>
          <w:rFonts w:ascii="Times New Roman" w:cs="Times New Roman" w:eastAsia="Times New Roman" w:hAnsi="Times New Roman"/>
          <w:sz w:val="18"/>
          <w:szCs w:val="18"/>
          <w:color w:val="auto"/>
        </w:rPr>
        <w:t>Participants may borrow from their vested account balance a minimum of $500 up to a maximum of 50% of the vested account balance with a maximum limit of $50,000. Loan terms range from 1 to 5 years or up to 10 years if the proceeds of the loan are used for the purchase of the</w:t>
      </w:r>
    </w:p>
    <w:p>
      <w:pPr>
        <w:spacing w:after="0" w:line="1" w:lineRule="exact"/>
        <w:rPr>
          <w:sz w:val="20"/>
          <w:szCs w:val="20"/>
          <w:color w:val="auto"/>
        </w:rPr>
      </w:pPr>
    </w:p>
    <w:p>
      <w:pPr>
        <w:ind w:left="460" w:right="80"/>
        <w:spacing w:after="0" w:line="195" w:lineRule="auto"/>
        <w:rPr>
          <w:sz w:val="20"/>
          <w:szCs w:val="20"/>
          <w:color w:val="auto"/>
        </w:rPr>
      </w:pPr>
      <w:r>
        <w:rPr>
          <w:rFonts w:ascii="Times New Roman" w:cs="Times New Roman" w:eastAsia="Times New Roman" w:hAnsi="Times New Roman"/>
          <w:sz w:val="18"/>
          <w:szCs w:val="18"/>
          <w:color w:val="auto"/>
        </w:rPr>
        <w:t>participant’s primary residence. Loans are secured by the balance in the Participant’s account and bear interest at the prime rate plus 1%. Participants may not have more than two loans outstanding at any one time. Principal and interest payments are payable ratably through direct</w:t>
      </w:r>
    </w:p>
    <w:p>
      <w:pPr>
        <w:ind w:left="460"/>
        <w:spacing w:after="0" w:line="204" w:lineRule="auto"/>
        <w:rPr>
          <w:sz w:val="20"/>
          <w:szCs w:val="20"/>
          <w:color w:val="auto"/>
        </w:rPr>
      </w:pPr>
      <w:r>
        <w:rPr>
          <w:rFonts w:ascii="Times New Roman" w:cs="Times New Roman" w:eastAsia="Times New Roman" w:hAnsi="Times New Roman"/>
          <w:sz w:val="18"/>
          <w:szCs w:val="18"/>
          <w:color w:val="auto"/>
        </w:rPr>
        <w:t>payroll deductions. Loans are in default when any scheduled payment remains unpaid beyond the last day of the calendar quarter following the</w:t>
      </w:r>
    </w:p>
    <w:p>
      <w:pPr>
        <w:spacing w:after="0" w:line="1" w:lineRule="exact"/>
        <w:rPr>
          <w:sz w:val="20"/>
          <w:szCs w:val="20"/>
          <w:color w:val="auto"/>
        </w:rPr>
      </w:pPr>
    </w:p>
    <w:p>
      <w:pPr>
        <w:ind w:left="460" w:right="80"/>
        <w:spacing w:after="0" w:line="218" w:lineRule="auto"/>
        <w:rPr>
          <w:sz w:val="20"/>
          <w:szCs w:val="20"/>
          <w:color w:val="auto"/>
        </w:rPr>
      </w:pPr>
      <w:r>
        <w:rPr>
          <w:rFonts w:ascii="Times New Roman" w:cs="Times New Roman" w:eastAsia="Times New Roman" w:hAnsi="Times New Roman"/>
          <w:sz w:val="18"/>
          <w:szCs w:val="18"/>
          <w:color w:val="auto"/>
        </w:rPr>
        <w:t>calendar quarter in which the participant missed a scheduled payment. Also, a loan is in default if the participant or a representative makes a false statement to the Plan.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Benefits</w:t>
      </w:r>
    </w:p>
    <w:p>
      <w:pPr>
        <w:spacing w:after="0" w:line="6" w:lineRule="exact"/>
        <w:rPr>
          <w:sz w:val="20"/>
          <w:szCs w:val="20"/>
          <w:color w:val="auto"/>
        </w:rPr>
      </w:pPr>
    </w:p>
    <w:p>
      <w:pPr>
        <w:ind w:left="460" w:right="60"/>
        <w:spacing w:after="0" w:line="203" w:lineRule="auto"/>
        <w:rPr>
          <w:sz w:val="20"/>
          <w:szCs w:val="20"/>
          <w:color w:val="auto"/>
        </w:rPr>
      </w:pPr>
      <w:r>
        <w:rPr>
          <w:rFonts w:ascii="Times New Roman" w:cs="Times New Roman" w:eastAsia="Times New Roman" w:hAnsi="Times New Roman"/>
          <w:sz w:val="18"/>
          <w:szCs w:val="18"/>
          <w:color w:val="auto"/>
        </w:rPr>
        <w:t>Upon termination of service with the Company, participants are entitled to a lump sum distribution of the vested portion of their account balance. Upon retirement or if a participant becomes totally and permanently disabled or dies, the participant or their beneficiary is entitled to their entire</w:t>
      </w:r>
    </w:p>
    <w:p>
      <w:pPr>
        <w:spacing w:after="0" w:line="1" w:lineRule="exact"/>
        <w:rPr>
          <w:sz w:val="20"/>
          <w:szCs w:val="20"/>
          <w:color w:val="auto"/>
        </w:rPr>
      </w:pPr>
    </w:p>
    <w:p>
      <w:pPr>
        <w:ind w:left="460" w:right="60"/>
        <w:spacing w:after="0" w:line="218" w:lineRule="auto"/>
        <w:rPr>
          <w:sz w:val="20"/>
          <w:szCs w:val="20"/>
          <w:color w:val="auto"/>
        </w:rPr>
      </w:pPr>
      <w:r>
        <w:rPr>
          <w:rFonts w:ascii="Times New Roman" w:cs="Times New Roman" w:eastAsia="Times New Roman" w:hAnsi="Times New Roman"/>
          <w:sz w:val="18"/>
          <w:szCs w:val="18"/>
          <w:color w:val="auto"/>
        </w:rPr>
        <w:t>account balance. Retired and terminated Participants who have an account balance in excess of $5,000 may elect various forms of deferred distribution.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Withdrawals</w:t>
      </w:r>
    </w:p>
    <w:p>
      <w:pPr>
        <w:spacing w:after="0" w:line="20" w:lineRule="exact"/>
        <w:rPr>
          <w:sz w:val="20"/>
          <w:szCs w:val="20"/>
          <w:color w:val="auto"/>
        </w:rPr>
      </w:pPr>
    </w:p>
    <w:p>
      <w:pPr>
        <w:ind w:left="460"/>
        <w:spacing w:after="0" w:line="195" w:lineRule="auto"/>
        <w:rPr>
          <w:sz w:val="20"/>
          <w:szCs w:val="20"/>
          <w:color w:val="auto"/>
        </w:rPr>
      </w:pPr>
      <w:r>
        <w:rPr>
          <w:rFonts w:ascii="Times New Roman" w:cs="Times New Roman" w:eastAsia="Times New Roman" w:hAnsi="Times New Roman"/>
          <w:sz w:val="18"/>
          <w:szCs w:val="18"/>
          <w:color w:val="auto"/>
        </w:rPr>
        <w:t>The Plan allows withdrawals of after-tax, rollover and vested employer matching contributions while an active employee. The Plan also allows for a "financial hardship" withdrawal of before-tax contributions for participants under age 59 ½ years in cases of demonstrated "financial hardship", as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defined by the Plan document.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Plan Termination</w:t>
      </w:r>
    </w:p>
    <w:p>
      <w:pPr>
        <w:spacing w:after="0" w:line="20" w:lineRule="exact"/>
        <w:rPr>
          <w:sz w:val="20"/>
          <w:szCs w:val="20"/>
          <w:color w:val="auto"/>
        </w:rPr>
      </w:pPr>
    </w:p>
    <w:p>
      <w:pPr>
        <w:ind w:left="460" w:right="420"/>
        <w:spacing w:after="0" w:line="195" w:lineRule="auto"/>
        <w:rPr>
          <w:sz w:val="20"/>
          <w:szCs w:val="20"/>
          <w:color w:val="auto"/>
        </w:rPr>
      </w:pPr>
      <w:r>
        <w:rPr>
          <w:rFonts w:ascii="Times New Roman" w:cs="Times New Roman" w:eastAsia="Times New Roman" w:hAnsi="Times New Roman"/>
          <w:sz w:val="18"/>
          <w:szCs w:val="18"/>
          <w:color w:val="auto"/>
        </w:rPr>
        <w:t>The Company anticipates that the Plan will continue without interruption but reserves the right to discontinue the Plan subject to the provisions of ERISA and the IRC. In the event that the Plan is terminated, the participants shall be fully vested in the current market value of amounts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credited to their accounts at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19"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valuation</w:t>
      </w:r>
    </w:p>
    <w:p>
      <w:pPr>
        <w:spacing w:after="0" w:line="6" w:lineRule="exact"/>
        <w:rPr>
          <w:sz w:val="20"/>
          <w:szCs w:val="20"/>
          <w:color w:val="auto"/>
        </w:rPr>
      </w:pPr>
    </w:p>
    <w:p>
      <w:pPr>
        <w:ind w:left="460" w:right="340"/>
        <w:spacing w:after="0" w:line="226" w:lineRule="auto"/>
        <w:rPr>
          <w:sz w:val="20"/>
          <w:szCs w:val="20"/>
          <w:color w:val="auto"/>
        </w:rPr>
      </w:pPr>
      <w:r>
        <w:rPr>
          <w:rFonts w:ascii="Times New Roman" w:cs="Times New Roman" w:eastAsia="Times New Roman" w:hAnsi="Times New Roman"/>
          <w:sz w:val="18"/>
          <w:szCs w:val="18"/>
          <w:color w:val="auto"/>
        </w:rPr>
        <w:t>Investments of the Plan are valued at fair value. Fair value is the price that would be received to sell an asset or paid to transfer a liability in an orderly transaction between market participants at the measurement date. See Note 4.</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Notes receivable from participants</w:t>
      </w:r>
    </w:p>
    <w:p>
      <w:pPr>
        <w:spacing w:after="0" w:line="20" w:lineRule="exact"/>
        <w:rPr>
          <w:sz w:val="20"/>
          <w:szCs w:val="20"/>
          <w:color w:val="auto"/>
        </w:rPr>
      </w:pPr>
    </w:p>
    <w:p>
      <w:pPr>
        <w:jc w:val="both"/>
        <w:ind w:left="460" w:right="80"/>
        <w:spacing w:after="0" w:line="195"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document. No allowance for credit losses has been recorded as of December 31,</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 or 2024.</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income</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Dividend income is recorded on the ex-dividend date. Interest earned on investments is recorded on the accrual basis.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benefits</w:t>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Expenses of the Plan</w:t>
      </w:r>
    </w:p>
    <w:p>
      <w:pPr>
        <w:spacing w:after="0" w:line="20" w:lineRule="exact"/>
        <w:rPr>
          <w:sz w:val="20"/>
          <w:szCs w:val="20"/>
          <w:color w:val="auto"/>
        </w:rPr>
      </w:pPr>
    </w:p>
    <w:p>
      <w:pPr>
        <w:ind w:left="460" w:right="440"/>
        <w:spacing w:after="0" w:line="328" w:lineRule="auto"/>
        <w:rPr>
          <w:sz w:val="20"/>
          <w:szCs w:val="20"/>
          <w:color w:val="auto"/>
        </w:rPr>
      </w:pPr>
      <w:r>
        <w:rPr>
          <w:rFonts w:ascii="Times New Roman" w:cs="Times New Roman" w:eastAsia="Times New Roman" w:hAnsi="Times New Roman"/>
          <w:sz w:val="18"/>
          <w:szCs w:val="18"/>
          <w:color w:val="auto"/>
        </w:rPr>
        <w:t xml:space="preserve">All expenses incurred in the administration of the Plan are paid by the Plan except for audit and legal expenses which are paid by the Company. </w:t>
      </w:r>
      <w:r>
        <w:rPr>
          <w:rFonts w:ascii="Times New Roman" w:cs="Times New Roman" w:eastAsia="Times New Roman" w:hAnsi="Times New Roman"/>
          <w:sz w:val="18"/>
          <w:szCs w:val="18"/>
          <w:b w:val="1"/>
          <w:bCs w:val="1"/>
          <w:u w:val="single" w:color="auto"/>
          <w:color w:val="auto"/>
        </w:rPr>
        <w:t>Basis of accounting</w:t>
      </w:r>
    </w:p>
    <w:p>
      <w:pPr>
        <w:spacing w:after="0" w:line="1" w:lineRule="exact"/>
        <w:rPr>
          <w:sz w:val="20"/>
          <w:szCs w:val="20"/>
          <w:color w:val="auto"/>
        </w:rPr>
      </w:pPr>
    </w:p>
    <w:p>
      <w:pPr>
        <w:ind w:left="460" w:right="720"/>
        <w:spacing w:after="0" w:line="218" w:lineRule="auto"/>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 in accordance with accounting principles generally accepted in the United States of America ("U. S. GAAP").</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ind w:left="460"/>
        <w:spacing w:after="0" w:line="22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 S. GAAP requires management to make estimates and assumptions that affect the</w:t>
      </w:r>
    </w:p>
    <w:p>
      <w:pPr>
        <w:jc w:val="both"/>
        <w:ind w:left="460"/>
        <w:spacing w:after="0" w:line="218" w:lineRule="auto"/>
        <w:rPr>
          <w:sz w:val="20"/>
          <w:szCs w:val="20"/>
          <w:color w:val="auto"/>
        </w:rPr>
      </w:pPr>
      <w:r>
        <w:rPr>
          <w:rFonts w:ascii="Times New Roman" w:cs="Times New Roman" w:eastAsia="Times New Roman" w:hAnsi="Times New Roman"/>
          <w:sz w:val="18"/>
          <w:szCs w:val="18"/>
          <w:color w:val="auto"/>
        </w:rPr>
        <w:t>reported amounts of assets and liabilities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risks, and uncertainties</w:t>
      </w:r>
    </w:p>
    <w:p>
      <w:pPr>
        <w:spacing w:after="0" w:line="20" w:lineRule="exact"/>
        <w:rPr>
          <w:sz w:val="20"/>
          <w:szCs w:val="20"/>
          <w:color w:val="auto"/>
        </w:rPr>
      </w:pPr>
    </w:p>
    <w:p>
      <w:pPr>
        <w:ind w:left="460" w:right="240"/>
        <w:spacing w:after="0" w:line="218" w:lineRule="auto"/>
        <w:rPr>
          <w:sz w:val="20"/>
          <w:szCs w:val="20"/>
          <w:color w:val="auto"/>
        </w:rPr>
      </w:pPr>
      <w:r>
        <w:rPr>
          <w:rFonts w:ascii="Times New Roman" w:cs="Times New Roman" w:eastAsia="Times New Roman" w:hAnsi="Times New Roman"/>
          <w:sz w:val="18"/>
          <w:szCs w:val="18"/>
          <w:color w:val="auto"/>
        </w:rPr>
        <w:t>The Plan has a significant concentration of investment in Chemed Corporation stock. A change in the value of this stock could cause the value of the Plan’s net assets to change significantly due to this concentration.</w:t>
      </w:r>
    </w:p>
    <w:p>
      <w:pPr>
        <w:spacing w:after="0" w:line="171" w:lineRule="exact"/>
        <w:rPr>
          <w:sz w:val="20"/>
          <w:szCs w:val="20"/>
          <w:color w:val="auto"/>
        </w:rPr>
      </w:pPr>
    </w:p>
    <w:p>
      <w:pPr>
        <w:jc w:val="both"/>
        <w:ind w:left="460"/>
        <w:spacing w:after="0" w:line="287" w:lineRule="auto"/>
        <w:rPr>
          <w:sz w:val="20"/>
          <w:szCs w:val="20"/>
          <w:color w:val="auto"/>
        </w:rPr>
      </w:pPr>
      <w:r>
        <w:rPr>
          <w:rFonts w:ascii="Times New Roman" w:cs="Times New Roman" w:eastAsia="Times New Roman" w:hAnsi="Times New Roman"/>
          <w:sz w:val="18"/>
          <w:szCs w:val="18"/>
          <w:color w:val="auto"/>
        </w:rPr>
        <w:t>The Plan provides for various investment options in a number of funds which include stocks, stable value investments, mutual funds, and other investment securities. Certain investments are exposed to risks such as changes in interest rates, fluctuations in market conditions and credit risk. The level of risk associated with certain investment securities and uncertainty related to changes in value of these securities could materially affect participant account balances and amounts reported in the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19"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Tax Status</w:t>
      </w:r>
    </w:p>
    <w:p>
      <w:pPr>
        <w:spacing w:after="0" w:line="216" w:lineRule="exact"/>
        <w:rPr>
          <w:sz w:val="20"/>
          <w:szCs w:val="20"/>
          <w:color w:val="auto"/>
        </w:rPr>
      </w:pPr>
    </w:p>
    <w:p>
      <w:pPr>
        <w:jc w:val="both"/>
        <w:ind w:left="460" w:right="220"/>
        <w:spacing w:after="0" w:line="236"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Company by a letter dated April 3, 2018, that the Plan and related trust are designed in accordance with applicable sections of the IRC. Although the Plan has been amended since receiving the determination letter, the Plan’s administrator believes that the Plan is designed and is currently being operated in compliance with the applicable sections of the IRC. The related trust is exempt from federal income tax under section 501(a) of the IRC.</w:t>
      </w:r>
    </w:p>
    <w:p>
      <w:pPr>
        <w:spacing w:after="0" w:line="200" w:lineRule="exact"/>
        <w:rPr>
          <w:sz w:val="20"/>
          <w:szCs w:val="20"/>
          <w:color w:val="auto"/>
        </w:rPr>
      </w:pPr>
    </w:p>
    <w:p>
      <w:pPr>
        <w:spacing w:after="0" w:line="359" w:lineRule="exact"/>
        <w:rPr>
          <w:sz w:val="20"/>
          <w:szCs w:val="20"/>
          <w:color w:val="auto"/>
        </w:rPr>
      </w:pPr>
    </w:p>
    <w:p>
      <w:pPr>
        <w:ind w:left="440" w:hanging="354"/>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rFonts w:ascii="Times New Roman" w:cs="Times New Roman" w:eastAsia="Times New Roman" w:hAnsi="Times New Roman"/>
          <w:sz w:val="18"/>
          <w:szCs w:val="18"/>
          <w:b w:val="1"/>
          <w:bCs w:val="1"/>
          <w:color w:val="auto"/>
        </w:rPr>
      </w:pPr>
    </w:p>
    <w:p>
      <w:pPr>
        <w:jc w:val="both"/>
        <w:ind w:left="460" w:right="160"/>
        <w:spacing w:after="0" w:line="22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will be received to sell an asset or paid to transfer a liability in an orderly transaction between market participants at the measurement date. Fair value is based on a three-level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33"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Inputs to the valuation methodology are unadjusted quoted prices for identical assets or liabilities in active markets that the Plan has the ability to access.</w:t>
      </w:r>
    </w:p>
    <w:p>
      <w:pPr>
        <w:spacing w:after="0" w:line="81" w:lineRule="exact"/>
        <w:rPr>
          <w:rFonts w:ascii="Times New Roman" w:cs="Times New Roman" w:eastAsia="Times New Roman" w:hAnsi="Times New Roman"/>
          <w:sz w:val="18"/>
          <w:szCs w:val="18"/>
          <w:b w:val="1"/>
          <w:bCs w:val="1"/>
          <w:color w:val="auto"/>
        </w:rPr>
      </w:pPr>
    </w:p>
    <w:p>
      <w:pPr>
        <w:jc w:val="both"/>
        <w:ind w:left="460" w:right="8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1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to the valuation methodology are unobservable and significant to the fair value measurement.</w:t>
      </w:r>
    </w:p>
    <w:p>
      <w:pPr>
        <w:spacing w:after="0" w:line="211" w:lineRule="exact"/>
        <w:rPr>
          <w:rFonts w:ascii="Times New Roman" w:cs="Times New Roman" w:eastAsia="Times New Roman" w:hAnsi="Times New Roman"/>
          <w:sz w:val="18"/>
          <w:szCs w:val="18"/>
          <w:b w:val="1"/>
          <w:bCs w:val="1"/>
          <w:color w:val="auto"/>
        </w:rPr>
      </w:pPr>
    </w:p>
    <w:p>
      <w:pPr>
        <w:ind w:left="460"/>
        <w:spacing w:after="0" w:line="32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Following is a description of the valuation methodologies used for assets measured at fair value:</w:t>
      </w:r>
    </w:p>
    <w:p>
      <w:pPr>
        <w:spacing w:after="0" w:line="10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xml:space="preserve"> – Valued using prices quoted on active markets at the measurement date.</w:t>
      </w:r>
    </w:p>
    <w:p>
      <w:pPr>
        <w:spacing w:after="0" w:line="13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 Valued at the closing price reported on the New York Stock Exchange on which the security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98" w:lineRule="exact"/>
        <w:rPr>
          <w:sz w:val="20"/>
          <w:szCs w:val="20"/>
          <w:color w:val="auto"/>
        </w:rPr>
      </w:pPr>
    </w:p>
    <w:p>
      <w:pPr>
        <w:jc w:val="both"/>
        <w:ind w:left="460" w:right="180"/>
        <w:spacing w:after="0" w:line="215" w:lineRule="auto"/>
        <w:rPr>
          <w:sz w:val="20"/>
          <w:szCs w:val="20"/>
          <w:color w:val="auto"/>
        </w:rPr>
      </w:pPr>
      <w:r>
        <w:rPr>
          <w:rFonts w:ascii="Times New Roman" w:cs="Times New Roman" w:eastAsia="Times New Roman" w:hAnsi="Times New Roman"/>
          <w:sz w:val="18"/>
          <w:szCs w:val="18"/>
          <w:u w:val="single" w:color="auto"/>
          <w:color w:val="auto"/>
        </w:rPr>
        <w:t>Collective trust fund</w:t>
      </w:r>
      <w:r>
        <w:rPr>
          <w:rFonts w:ascii="Times New Roman" w:cs="Times New Roman" w:eastAsia="Times New Roman" w:hAnsi="Times New Roman"/>
          <w:sz w:val="18"/>
          <w:szCs w:val="18"/>
          <w:color w:val="auto"/>
        </w:rPr>
        <w:t xml:space="preserve"> – Valued at the net asset value (“NAV”) of units of a bank collective trust. The NAV, as provided by the trustee, is used as a practical expedient to estimate fair value. The NAV is based on the fair value of the underlying investments held by the fund less its liabilities.</w:t>
      </w:r>
    </w:p>
    <w:p>
      <w:pPr>
        <w:ind w:left="460" w:right="180"/>
        <w:spacing w:after="0" w:line="195" w:lineRule="auto"/>
        <w:rPr>
          <w:sz w:val="20"/>
          <w:szCs w:val="20"/>
          <w:color w:val="auto"/>
        </w:rPr>
      </w:pPr>
      <w:r>
        <w:rPr>
          <w:rFonts w:ascii="Times New Roman" w:cs="Times New Roman" w:eastAsia="Times New Roman" w:hAnsi="Times New Roman"/>
          <w:sz w:val="18"/>
          <w:szCs w:val="18"/>
          <w:color w:val="auto"/>
        </w:rPr>
        <w:t>This practical expedient is not used when it is determined to be probable that the fund will sell the investment for an amount different than the reported NAV. Participant transactions (purchases and sales) may occur daily. Were the Plan to initiate a full redemption of the collective trust, the</w:t>
      </w:r>
    </w:p>
    <w:p>
      <w:pPr>
        <w:spacing w:after="0" w:line="1" w:lineRule="exact"/>
        <w:rPr>
          <w:sz w:val="20"/>
          <w:szCs w:val="20"/>
          <w:color w:val="auto"/>
        </w:rPr>
      </w:pPr>
    </w:p>
    <w:p>
      <w:pPr>
        <w:ind w:left="460" w:right="180"/>
        <w:spacing w:after="0" w:line="226" w:lineRule="auto"/>
        <w:rPr>
          <w:sz w:val="20"/>
          <w:szCs w:val="20"/>
          <w:color w:val="auto"/>
        </w:rPr>
      </w:pPr>
      <w:r>
        <w:rPr>
          <w:rFonts w:ascii="Times New Roman" w:cs="Times New Roman" w:eastAsia="Times New Roman" w:hAnsi="Times New Roman"/>
          <w:sz w:val="18"/>
          <w:szCs w:val="18"/>
          <w:color w:val="auto"/>
        </w:rPr>
        <w:t>investment adviser reserves the right to temporarily delay withdrawal from the trust in order to ensure that securities liquidations will be carried out in an orderly business manner.</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at fair value: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524"/>
        </w:trPr>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Investments (at fair</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6"/>
        </w:trPr>
        <w:tc>
          <w:tcPr>
            <w:tcW w:w="3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value)</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Level 1</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Level 2</w:t>
            </w:r>
          </w:p>
        </w:tc>
        <w:tc>
          <w:tcPr>
            <w:tcW w:w="10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Level 3</w:t>
            </w:r>
          </w:p>
        </w:tc>
      </w:tr>
      <w:tr>
        <w:trPr>
          <w:trHeight w:val="52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19,340,445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19,340,445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356,138,989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356,138,989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32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Total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375,479,434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2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64"/>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Collective trust fund</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12,960,477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388,439,911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524"/>
        </w:trPr>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Investments (at fair</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6"/>
        </w:trPr>
        <w:tc>
          <w:tcPr>
            <w:tcW w:w="3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value)</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Level 1</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Level 2</w:t>
            </w:r>
          </w:p>
        </w:tc>
        <w:tc>
          <w:tcPr>
            <w:tcW w:w="10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Level 3</w:t>
            </w:r>
          </w:p>
        </w:tc>
      </w:tr>
      <w:tr>
        <w:trPr>
          <w:trHeight w:val="52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26,320,216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26,320,216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320,030,696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320,030,696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32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Total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346,350,912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2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64"/>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Collective trust fund</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12,373,763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358,724,675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the collective trust have no holding period, and redemptions can be made daily. There are no unfunded commitments.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19" w:lineRule="exact"/>
        <w:rPr>
          <w:sz w:val="20"/>
          <w:szCs w:val="20"/>
          <w:color w:val="auto"/>
        </w:rPr>
      </w:pPr>
    </w:p>
    <w:p>
      <w:pPr>
        <w:ind w:left="440" w:hanging="354"/>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202" w:lineRule="exact"/>
        <w:rPr>
          <w:rFonts w:ascii="Times New Roman" w:cs="Times New Roman" w:eastAsia="Times New Roman" w:hAnsi="Times New Roman"/>
          <w:sz w:val="18"/>
          <w:szCs w:val="18"/>
          <w:b w:val="1"/>
          <w:bCs w:val="1"/>
          <w:color w:val="auto"/>
        </w:rPr>
      </w:pPr>
    </w:p>
    <w:p>
      <w:pPr>
        <w:jc w:val="both"/>
        <w:ind w:left="46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held during the years ended December 31, 2025 and 2024 include shares of the Company’s common stock. During 2025, approximately 1,900 shares of Chemed Corporation common stock was purchased in the amount of approximately $910,000 and approximately 6,400 shares of Chemed Corporation common stock was sold in the amount of approximately $3,300,000 which qualify as party-in-interest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Chemed/Roto-Rooter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&amp; Retirement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EIN 31-0791746 Plan No. 104</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Schedule H, Line 4i</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258"/>
        </w:trPr>
        <w:tc>
          <w:tcPr>
            <w:tcW w:w="84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8"/>
              </w:rPr>
              <w:t>(a)</w:t>
            </w:r>
          </w:p>
        </w:tc>
        <w:tc>
          <w:tcPr>
            <w:tcW w:w="378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(b)</w:t>
            </w:r>
          </w:p>
        </w:tc>
        <w:tc>
          <w:tcPr>
            <w:tcW w:w="140" w:type="dxa"/>
            <w:vAlign w:val="bottom"/>
          </w:tcPr>
          <w:p>
            <w:pPr>
              <w:spacing w:after="0"/>
              <w:rPr>
                <w:sz w:val="22"/>
                <w:szCs w:val="22"/>
                <w:color w:val="auto"/>
              </w:rPr>
            </w:pPr>
          </w:p>
        </w:tc>
        <w:tc>
          <w:tcPr>
            <w:tcW w:w="450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(c )</w:t>
            </w:r>
          </w:p>
        </w:tc>
        <w:tc>
          <w:tcPr>
            <w:tcW w:w="4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Current</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Identity of issue</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Description of investment</w:t>
            </w:r>
          </w:p>
        </w:tc>
        <w:tc>
          <w:tcPr>
            <w:tcW w:w="4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520"/>
        </w:trPr>
        <w:tc>
          <w:tcPr>
            <w:tcW w:w="840" w:type="dxa"/>
            <w:vAlign w:val="bottom"/>
          </w:tcPr>
          <w:p>
            <w:pPr>
              <w:spacing w:after="0"/>
              <w:rPr>
                <w:sz w:val="24"/>
                <w:szCs w:val="24"/>
                <w:color w:val="auto"/>
              </w:rPr>
            </w:pPr>
          </w:p>
        </w:tc>
        <w:tc>
          <w:tcPr>
            <w:tcW w:w="3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Chemed Corporation common stock</w:t>
            </w:r>
          </w:p>
        </w:tc>
        <w:tc>
          <w:tcPr>
            <w:tcW w:w="14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9"/>
              </w:rPr>
              <w:t>*</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Chemed Corporation</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Common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19,340,445</w:t>
            </w:r>
          </w:p>
        </w:tc>
        <w:tc>
          <w:tcPr>
            <w:tcW w:w="0" w:type="dxa"/>
            <w:vAlign w:val="bottom"/>
          </w:tcPr>
          <w:p>
            <w:pPr>
              <w:spacing w:after="0"/>
              <w:rPr>
                <w:sz w:val="1"/>
                <w:szCs w:val="1"/>
                <w:color w:val="auto"/>
              </w:rPr>
            </w:pPr>
          </w:p>
        </w:tc>
      </w:tr>
      <w:tr>
        <w:trPr>
          <w:trHeight w:val="534"/>
        </w:trPr>
        <w:tc>
          <w:tcPr>
            <w:tcW w:w="84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Mutual funds</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iShares</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S&amp;P 500 Index Fund</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67,115,496</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MFS</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International Intrinsic Value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57,169,150</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T Rowe Price</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Blue Chip Growth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43,367,840</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Victory Sycamore</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Established Value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13,040,062</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JP Morgan</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Core Bond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33,294,828</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Vanguard</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Federal Money Market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20,883,159</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BlackRock</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Equity Dividend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19,916,500</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American</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Balanced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28,967,133</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American</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New World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895,431</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Principal</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Mid Cap Growth</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25,296,405</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Columbia</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Small Cap Value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11,763,531</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Wells Fargo</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Short Duration Government Bond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7,222,571</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PIMCO</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Real Return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9,666,278</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Invesco</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International Small-Mid Company Fund</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7,540,359</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Vanguard</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Explorer Fund</w:t>
            </w:r>
          </w:p>
        </w:tc>
        <w:tc>
          <w:tcPr>
            <w:tcW w:w="4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10,000,246</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mutual funds</w:t>
            </w:r>
          </w:p>
        </w:tc>
        <w:tc>
          <w:tcPr>
            <w:tcW w:w="1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356,138,989</w:t>
            </w:r>
          </w:p>
        </w:tc>
        <w:tc>
          <w:tcPr>
            <w:tcW w:w="0" w:type="dxa"/>
            <w:vAlign w:val="bottom"/>
          </w:tcPr>
          <w:p>
            <w:pPr>
              <w:spacing w:after="0"/>
              <w:rPr>
                <w:sz w:val="1"/>
                <w:szCs w:val="1"/>
                <w:color w:val="auto"/>
              </w:rPr>
            </w:pPr>
          </w:p>
        </w:tc>
      </w:tr>
      <w:tr>
        <w:trPr>
          <w:trHeight w:val="534"/>
        </w:trPr>
        <w:tc>
          <w:tcPr>
            <w:tcW w:w="84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Collective trust fund</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Invesco</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Stable Value Trust Fund</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12,960,477</w:t>
            </w:r>
          </w:p>
        </w:tc>
        <w:tc>
          <w:tcPr>
            <w:tcW w:w="0" w:type="dxa"/>
            <w:vAlign w:val="bottom"/>
          </w:tcPr>
          <w:p>
            <w:pPr>
              <w:spacing w:after="0"/>
              <w:rPr>
                <w:sz w:val="1"/>
                <w:szCs w:val="1"/>
                <w:color w:val="auto"/>
              </w:rPr>
            </w:pPr>
          </w:p>
        </w:tc>
      </w:tr>
      <w:tr>
        <w:trPr>
          <w:trHeight w:val="534"/>
        </w:trPr>
        <w:tc>
          <w:tcPr>
            <w:tcW w:w="84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Loans to Participants, at rates ranging from 4.25% to</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84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9"/>
              </w:rPr>
              <w:t>*</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Loan Fund</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9.50%</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9,176,737</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4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64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397,616,648</w:t>
            </w:r>
          </w:p>
        </w:tc>
        <w:tc>
          <w:tcPr>
            <w:tcW w:w="0" w:type="dxa"/>
            <w:vAlign w:val="bottom"/>
          </w:tcPr>
          <w:p>
            <w:pPr>
              <w:spacing w:after="0"/>
              <w:rPr>
                <w:sz w:val="1"/>
                <w:szCs w:val="1"/>
                <w:color w:val="auto"/>
              </w:rPr>
            </w:pPr>
          </w:p>
        </w:tc>
      </w:tr>
      <w:tr>
        <w:trPr>
          <w:trHeight w:val="526"/>
        </w:trPr>
        <w:tc>
          <w:tcPr>
            <w:tcW w:w="8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 Denotes party in interest.</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 Cost omitted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10</w:t>
      </w:r>
    </w:p>
    <w:p>
      <w:pPr>
        <w:sectPr>
          <w:pgSz w:w="11900" w:h="16838" w:orient="portrait"/>
          <w:cols w:equalWidth="0" w:num="1">
            <w:col w:w="11240"/>
          </w:cols>
          <w:pgMar w:left="320" w:top="29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180"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(File No. 2-80712) on Form S-8 of our report dated June 24, 2026, appearing in this Annual Report on Form 11-K of the Chemed/Roto-Rooter Savings and Retirement Plan for the year ended December 31, 2025.</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Clark, Schaefer, Hackett &amp; Co.</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284480</wp:posOffset>
            </wp:positionV>
            <wp:extent cx="573468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sectPr>
      <w:pgSz w:w="11900" w:h="16838" w:orient="portrait"/>
      <w:cols w:equalWidth="0" w:num="1">
        <w:col w:w="9140"/>
      </w:cols>
      <w:pgMar w:left="1440" w:top="117"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lvl>
    <w:lvl w:ilvl="1">
      <w:lvlJc w:val="left"/>
      <w:lvlText w:val="☒"/>
      <w:numFmt w:val="bullet"/>
      <w:start w:val="1"/>
    </w:lvl>
    <w:lvl w:ilvl="2">
      <w:lvlJc w:val="left"/>
      <w:lvlText w:val="☐"/>
      <w:numFmt w:val="bullet"/>
      <w:start w:val="1"/>
    </w:lvl>
  </w:abstractNum>
  <w:abstractNum w:abstractNumId="1">
    <w:nsid w:val="625558EC"/>
    <w:multiLevelType w:val="hybridMultilevel"/>
    <w:lvl w:ilvl="0">
      <w:lvlJc w:val="left"/>
      <w:lvlText w:val="%1:"/>
      <w:numFmt w:val="upperLetter"/>
      <w:start w:val="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2026-06-24T09:03:57Z</dcterms:created>
  <dcterms:modified xsi:type="dcterms:W3CDTF">2026-06-24T09:03:57Z</dcterms:modified>
</cp:coreProperties>
</file>