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UNITED STATES</w:t>
      </w:r>
    </w:p>
    <w:p>
      <w:pPr>
        <w:jc w:val="center"/>
        <w:ind w:right="-19"/>
        <w:spacing w:after="0" w:line="233" w:lineRule="auto"/>
        <w:rPr>
          <w:sz w:val="20"/>
          <w:szCs w:val="20"/>
          <w:color w:val="auto"/>
        </w:rPr>
      </w:pPr>
      <w:r>
        <w:rPr>
          <w:rFonts w:ascii="Arial" w:cs="Arial" w:eastAsia="Arial" w:hAnsi="Arial"/>
          <w:sz w:val="15"/>
          <w:szCs w:val="15"/>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FORM 10-K</w:t>
      </w:r>
    </w:p>
    <w:p>
      <w:pPr>
        <w:ind w:left="5140" w:hanging="286"/>
        <w:spacing w:after="0"/>
        <w:tabs>
          <w:tab w:leader="none" w:pos="51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ANNUAL REPORT</w:t>
      </w:r>
    </w:p>
    <w:p>
      <w:pPr>
        <w:spacing w:after="0" w:line="74"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PURSUANT TO SECTION 13 OR 15(d) OF</w:t>
      </w:r>
    </w:p>
    <w:p>
      <w:pPr>
        <w:ind w:left="4120"/>
        <w:spacing w:after="0" w:line="218" w:lineRule="auto"/>
        <w:rPr>
          <w:sz w:val="20"/>
          <w:szCs w:val="20"/>
          <w:color w:val="auto"/>
        </w:rPr>
      </w:pPr>
      <w:r>
        <w:rPr>
          <w:rFonts w:ascii="Arial" w:cs="Arial" w:eastAsia="Arial" w:hAnsi="Arial"/>
          <w:sz w:val="15"/>
          <w:szCs w:val="15"/>
          <w:color w:val="auto"/>
        </w:rPr>
        <w:t>THE SECURITIES EXCHANGE ACT OF 1934</w:t>
      </w:r>
    </w:p>
    <w:p>
      <w:pPr>
        <w:jc w:val="center"/>
        <w:ind w:right="-19"/>
        <w:spacing w:after="0"/>
        <w:rPr>
          <w:sz w:val="20"/>
          <w:szCs w:val="20"/>
          <w:color w:val="auto"/>
        </w:rPr>
      </w:pPr>
      <w:r>
        <w:rPr>
          <w:rFonts w:ascii="Arial" w:cs="Arial" w:eastAsia="Arial" w:hAnsi="Arial"/>
          <w:sz w:val="15"/>
          <w:szCs w:val="15"/>
          <w:b w:val="1"/>
          <w:bCs w:val="1"/>
          <w:color w:val="auto"/>
        </w:rPr>
        <w:t>For the fiscal year ended December 31, 202</w:t>
      </w:r>
      <w:r>
        <w:rPr>
          <w:rFonts w:ascii="Arial" w:cs="Arial" w:eastAsia="Arial" w:hAnsi="Arial"/>
          <w:sz w:val="17"/>
          <w:szCs w:val="17"/>
          <w:color w:val="auto"/>
        </w:rPr>
        <w:t>1</w:t>
      </w:r>
    </w:p>
    <w:p>
      <w:pPr>
        <w:spacing w:after="0" w:line="110" w:lineRule="exact"/>
        <w:rPr>
          <w:sz w:val="24"/>
          <w:szCs w:val="24"/>
          <w:color w:val="auto"/>
        </w:rPr>
      </w:pPr>
    </w:p>
    <w:p>
      <w:pPr>
        <w:ind w:left="2880" w:hanging="290"/>
        <w:spacing w:after="0"/>
        <w:tabs>
          <w:tab w:leader="none" w:pos="288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80" w:lineRule="exact"/>
        <w:rPr>
          <w:rFonts w:ascii="MS PGothic" w:cs="MS PGothic" w:eastAsia="MS PGothic" w:hAnsi="MS PGothic"/>
          <w:sz w:val="13"/>
          <w:szCs w:val="13"/>
          <w:color w:val="auto"/>
          <w:highlight w:val="black"/>
        </w:rPr>
      </w:pPr>
    </w:p>
    <w:p>
      <w:pPr>
        <w:ind w:left="3900"/>
        <w:spacing w:after="0"/>
        <w:rPr>
          <w:rFonts w:ascii="MS PGothic" w:cs="MS PGothic" w:eastAsia="MS PGothic" w:hAnsi="MS PGothic"/>
          <w:sz w:val="13"/>
          <w:szCs w:val="13"/>
          <w:color w:val="auto"/>
          <w:highlight w:val="black"/>
        </w:rPr>
      </w:pPr>
      <w:r>
        <w:rPr>
          <w:rFonts w:ascii="Arial" w:cs="Arial" w:eastAsia="Arial" w:hAnsi="Arial"/>
          <w:sz w:val="15"/>
          <w:szCs w:val="15"/>
          <w:b w:val="1"/>
          <w:bCs w:val="1"/>
          <w:color w:val="auto"/>
        </w:rPr>
        <w:t xml:space="preserve">For the Transition Period from </w:t>
      </w:r>
      <w:r>
        <w:rPr>
          <w:rFonts w:ascii="Arial" w:cs="Arial" w:eastAsia="Arial" w:hAnsi="Arial"/>
          <w:sz w:val="15"/>
          <w:szCs w:val="15"/>
          <w:color w:val="auto"/>
        </w:rPr>
        <w:t>________</w:t>
      </w:r>
      <w:r>
        <w:rPr>
          <w:rFonts w:ascii="Arial" w:cs="Arial" w:eastAsia="Arial" w:hAnsi="Arial"/>
          <w:sz w:val="15"/>
          <w:szCs w:val="15"/>
          <w:b w:val="1"/>
          <w:bCs w:val="1"/>
          <w:color w:val="auto"/>
        </w:rPr>
        <w:t xml:space="preserve"> to</w:t>
      </w:r>
      <w:r>
        <w:rPr>
          <w:rFonts w:ascii="Arial" w:cs="Arial" w:eastAsia="Arial" w:hAnsi="Arial"/>
          <w:sz w:val="15"/>
          <w:szCs w:val="15"/>
          <w:color w:val="auto"/>
        </w:rPr>
        <w:t>________</w:t>
      </w:r>
    </w:p>
    <w:p>
      <w:pPr>
        <w:spacing w:after="0" w:line="34" w:lineRule="exact"/>
        <w:rPr>
          <w:rFonts w:ascii="MS PGothic" w:cs="MS PGothic" w:eastAsia="MS PGothic" w:hAnsi="MS PGothic"/>
          <w:sz w:val="13"/>
          <w:szCs w:val="13"/>
          <w:color w:val="auto"/>
          <w:highlight w:val="black"/>
        </w:rPr>
      </w:pPr>
    </w:p>
    <w:p>
      <w:pPr>
        <w:ind w:left="4580"/>
        <w:spacing w:after="0"/>
        <w:rPr>
          <w:rFonts w:ascii="MS PGothic" w:cs="MS PGothic" w:eastAsia="MS PGothic" w:hAnsi="MS PGothic"/>
          <w:sz w:val="13"/>
          <w:szCs w:val="13"/>
          <w:color w:val="auto"/>
          <w:highlight w:val="black"/>
        </w:rPr>
      </w:pPr>
      <w:r>
        <w:rPr>
          <w:rFonts w:ascii="Arial" w:cs="Arial" w:eastAsia="Arial" w:hAnsi="Arial"/>
          <w:sz w:val="15"/>
          <w:szCs w:val="15"/>
          <w:color w:val="auto"/>
        </w:rPr>
        <w:t>Commission File Number: 1-8351</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CHEMED CORPORATION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40"/>
          </w:cols>
          <w:pgMar w:left="320" w:top="244" w:right="339" w:bottom="1440" w:gutter="0" w:footer="0" w:header="0"/>
        </w:sectPr>
      </w:pPr>
    </w:p>
    <w:p>
      <w:pPr>
        <w:spacing w:after="0" w:line="99" w:lineRule="exact"/>
        <w:rPr>
          <w:sz w:val="24"/>
          <w:szCs w:val="24"/>
          <w:color w:val="auto"/>
        </w:rPr>
      </w:pPr>
    </w:p>
    <w:p>
      <w:pPr>
        <w:ind w:left="2520"/>
        <w:spacing w:after="0"/>
        <w:rPr>
          <w:sz w:val="20"/>
          <w:szCs w:val="20"/>
          <w:color w:val="auto"/>
        </w:rPr>
      </w:pPr>
      <w:r>
        <w:rPr>
          <w:rFonts w:ascii="Arial" w:cs="Arial" w:eastAsia="Arial" w:hAnsi="Arial"/>
          <w:sz w:val="15"/>
          <w:szCs w:val="15"/>
          <w:color w:val="auto"/>
        </w:rPr>
        <w:t>Delaware</w:t>
      </w:r>
    </w:p>
    <w:p>
      <w:pPr>
        <w:spacing w:after="0" w:line="2"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19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2100"/>
        <w:spacing w:after="0"/>
        <w:rPr>
          <w:sz w:val="20"/>
          <w:szCs w:val="20"/>
          <w:color w:val="auto"/>
        </w:rPr>
      </w:pPr>
      <w:r>
        <w:rPr>
          <w:rFonts w:ascii="Arial" w:cs="Arial" w:eastAsia="Arial" w:hAnsi="Arial"/>
          <w:sz w:val="15"/>
          <w:szCs w:val="15"/>
          <w:b w:val="1"/>
          <w:bCs w:val="1"/>
          <w:color w:val="auto"/>
        </w:rPr>
        <w:t>31-0791746</w:t>
      </w:r>
    </w:p>
    <w:p>
      <w:pPr>
        <w:jc w:val="center"/>
        <w:ind w:right="2100"/>
        <w:spacing w:after="0" w:line="233" w:lineRule="auto"/>
        <w:rPr>
          <w:sz w:val="20"/>
          <w:szCs w:val="20"/>
          <w:color w:val="auto"/>
        </w:rPr>
      </w:pPr>
      <w:r>
        <w:rPr>
          <w:rFonts w:ascii="Arial" w:cs="Arial" w:eastAsia="Arial" w:hAnsi="Arial"/>
          <w:sz w:val="15"/>
          <w:szCs w:val="15"/>
          <w:color w:val="auto"/>
        </w:rPr>
        <w:t>(I.R.S. Employer</w:t>
      </w:r>
    </w:p>
    <w:p>
      <w:pPr>
        <w:jc w:val="center"/>
        <w:ind w:right="2100"/>
        <w:spacing w:after="0"/>
        <w:rPr>
          <w:sz w:val="20"/>
          <w:szCs w:val="20"/>
          <w:color w:val="auto"/>
        </w:rPr>
      </w:pPr>
      <w:r>
        <w:rPr>
          <w:rFonts w:ascii="Arial" w:cs="Arial" w:eastAsia="Arial" w:hAnsi="Arial"/>
          <w:sz w:val="14"/>
          <w:szCs w:val="14"/>
          <w:color w:val="auto"/>
        </w:rPr>
        <w:t>Identification Number)</w:t>
      </w:r>
    </w:p>
    <w:p>
      <w:pPr>
        <w:spacing w:after="0" w:line="151" w:lineRule="exact"/>
        <w:rPr>
          <w:sz w:val="24"/>
          <w:szCs w:val="24"/>
          <w:color w:val="auto"/>
        </w:rPr>
      </w:pPr>
    </w:p>
    <w:p>
      <w:pPr>
        <w:sectPr>
          <w:pgSz w:w="11900" w:h="16838" w:orient="portrait"/>
          <w:cols w:equalWidth="0" w:num="2">
            <w:col w:w="7000" w:space="720"/>
            <w:col w:w="3520"/>
          </w:cols>
          <w:pgMar w:left="320" w:top="244" w:right="339" w:bottom="1440" w:gutter="0" w:footer="0" w:header="0"/>
          <w:type w:val="continuous"/>
        </w:sectPr>
      </w:pPr>
    </w:p>
    <w:p>
      <w:pPr>
        <w:jc w:val="center"/>
        <w:ind w:right="1700"/>
        <w:spacing w:after="0"/>
        <w:rPr>
          <w:sz w:val="20"/>
          <w:szCs w:val="20"/>
          <w:color w:val="auto"/>
        </w:rPr>
      </w:pPr>
      <w:r>
        <w:rPr>
          <w:rFonts w:ascii="Arial" w:cs="Arial" w:eastAsia="Arial" w:hAnsi="Arial"/>
          <w:sz w:val="13"/>
          <w:szCs w:val="13"/>
          <w:color w:val="auto"/>
        </w:rPr>
        <w:t>Suite 2600, 255 East Fifth Street, Cincinnati, Ohio</w:t>
      </w:r>
    </w:p>
    <w:p>
      <w:pPr>
        <w:spacing w:after="0" w:line="25" w:lineRule="exact"/>
        <w:rPr>
          <w:sz w:val="24"/>
          <w:szCs w:val="24"/>
          <w:color w:val="auto"/>
        </w:rPr>
      </w:pPr>
    </w:p>
    <w:p>
      <w:pPr>
        <w:jc w:val="center"/>
        <w:ind w:right="170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45202-4726</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color w:val="auto"/>
        </w:rPr>
        <w:t>(Zip Code)</w:t>
      </w:r>
    </w:p>
    <w:p>
      <w:pPr>
        <w:spacing w:after="0" w:line="178" w:lineRule="exact"/>
        <w:rPr>
          <w:sz w:val="24"/>
          <w:szCs w:val="24"/>
          <w:color w:val="auto"/>
        </w:rPr>
      </w:pPr>
    </w:p>
    <w:p>
      <w:pPr>
        <w:sectPr>
          <w:pgSz w:w="11900" w:h="16838" w:orient="portrait"/>
          <w:cols w:equalWidth="0" w:num="2">
            <w:col w:w="7340" w:space="720"/>
            <w:col w:w="3180"/>
          </w:cols>
          <w:pgMar w:left="320" w:top="244" w:right="339" w:bottom="1440" w:gutter="0" w:footer="0" w:header="0"/>
          <w:type w:val="continuous"/>
        </w:sectPr>
      </w:pPr>
    </w:p>
    <w:p>
      <w:pPr>
        <w:ind w:left="5140"/>
        <w:spacing w:after="0"/>
        <w:rPr>
          <w:sz w:val="20"/>
          <w:szCs w:val="20"/>
          <w:color w:val="auto"/>
        </w:rPr>
      </w:pPr>
      <w:r>
        <w:rPr>
          <w:rFonts w:ascii="Arial" w:cs="Arial" w:eastAsia="Arial" w:hAnsi="Arial"/>
          <w:sz w:val="15"/>
          <w:szCs w:val="15"/>
          <w:color w:val="auto"/>
        </w:rPr>
        <w:t>(513) 762-6690</w:t>
      </w:r>
    </w:p>
    <w:p>
      <w:pPr>
        <w:spacing w:after="0" w:line="2"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3860"/>
        <w:spacing w:after="0"/>
        <w:rPr>
          <w:sz w:val="20"/>
          <w:szCs w:val="20"/>
          <w:color w:val="auto"/>
        </w:rPr>
      </w:pPr>
      <w:r>
        <w:rPr>
          <w:rFonts w:ascii="Arial" w:cs="Arial" w:eastAsia="Arial" w:hAnsi="Arial"/>
          <w:sz w:val="13"/>
          <w:szCs w:val="13"/>
          <w:color w:val="auto"/>
        </w:rPr>
        <w:t>Securities registered pursuant to Section 12(b) of the Act:</w:t>
      </w:r>
    </w:p>
    <w:p>
      <w:pPr>
        <w:sectPr>
          <w:pgSz w:w="11900" w:h="16838" w:orient="portrait"/>
          <w:cols w:equalWidth="0" w:num="1">
            <w:col w:w="11240"/>
          </w:cols>
          <w:pgMar w:left="320" w:top="244" w:right="339" w:bottom="1440" w:gutter="0" w:footer="0" w:header="0"/>
          <w:type w:val="continuous"/>
        </w:sectPr>
      </w:pPr>
    </w:p>
    <w:p>
      <w:pPr>
        <w:spacing w:after="0" w:line="190" w:lineRule="exact"/>
        <w:rPr>
          <w:sz w:val="24"/>
          <w:szCs w:val="24"/>
          <w:color w:val="auto"/>
        </w:rPr>
      </w:pPr>
    </w:p>
    <w:p>
      <w:pPr>
        <w:jc w:val="center"/>
        <w:ind w:left="200"/>
        <w:spacing w:after="0"/>
        <w:rPr>
          <w:sz w:val="20"/>
          <w:szCs w:val="20"/>
          <w:color w:val="auto"/>
        </w:rPr>
      </w:pPr>
      <w:r>
        <w:rPr>
          <w:rFonts w:ascii="Arial" w:cs="Arial" w:eastAsia="Arial" w:hAnsi="Arial"/>
          <w:sz w:val="15"/>
          <w:szCs w:val="15"/>
          <w:color w:val="auto"/>
        </w:rPr>
        <w:t>Title of Each Class</w:t>
      </w:r>
    </w:p>
    <w:p>
      <w:pPr>
        <w:spacing w:after="0" w:line="2" w:lineRule="exact"/>
        <w:rPr>
          <w:sz w:val="24"/>
          <w:szCs w:val="24"/>
          <w:color w:val="auto"/>
        </w:rPr>
      </w:pPr>
    </w:p>
    <w:p>
      <w:pPr>
        <w:jc w:val="center"/>
        <w:ind w:left="160"/>
        <w:spacing w:after="0"/>
        <w:rPr>
          <w:sz w:val="20"/>
          <w:szCs w:val="20"/>
          <w:color w:val="auto"/>
        </w:rPr>
      </w:pPr>
      <w:r>
        <w:rPr>
          <w:rFonts w:ascii="Arial" w:cs="Arial" w:eastAsia="Arial" w:hAnsi="Arial"/>
          <w:sz w:val="13"/>
          <w:szCs w:val="13"/>
          <w:color w:val="auto"/>
        </w:rPr>
        <w:t>Capital Stock – Par Value $1 Per Share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Trading Symbol</w:t>
      </w:r>
    </w:p>
    <w:p>
      <w:pPr>
        <w:spacing w:after="0" w:line="13" w:lineRule="exact"/>
        <w:rPr>
          <w:sz w:val="24"/>
          <w:szCs w:val="24"/>
          <w:color w:val="auto"/>
        </w:rPr>
      </w:pPr>
    </w:p>
    <w:p>
      <w:pPr>
        <w:jc w:val="center"/>
        <w:ind w:right="700"/>
        <w:spacing w:after="0"/>
        <w:rPr>
          <w:sz w:val="20"/>
          <w:szCs w:val="20"/>
          <w:color w:val="auto"/>
        </w:rPr>
      </w:pPr>
      <w:r>
        <w:rPr>
          <w:rFonts w:ascii="Arial" w:cs="Arial" w:eastAsia="Arial" w:hAnsi="Arial"/>
          <w:sz w:val="15"/>
          <w:szCs w:val="15"/>
          <w:color w:val="auto"/>
        </w:rPr>
        <w:t>CHE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880"/>
        <w:spacing w:after="0"/>
        <w:rPr>
          <w:sz w:val="20"/>
          <w:szCs w:val="20"/>
          <w:color w:val="auto"/>
        </w:rPr>
      </w:pPr>
      <w:r>
        <w:rPr>
          <w:rFonts w:ascii="Arial" w:cs="Arial" w:eastAsia="Arial" w:hAnsi="Arial"/>
          <w:sz w:val="13"/>
          <w:szCs w:val="13"/>
          <w:color w:val="auto"/>
        </w:rPr>
        <w:t>Name of each exchange on which registered</w:t>
      </w:r>
    </w:p>
    <w:p>
      <w:pPr>
        <w:spacing w:after="0" w:line="25" w:lineRule="exact"/>
        <w:rPr>
          <w:sz w:val="24"/>
          <w:szCs w:val="24"/>
          <w:color w:val="auto"/>
        </w:rPr>
      </w:pPr>
    </w:p>
    <w:p>
      <w:pPr>
        <w:jc w:val="center"/>
        <w:ind w:right="880"/>
        <w:spacing w:after="0"/>
        <w:rPr>
          <w:sz w:val="20"/>
          <w:szCs w:val="20"/>
          <w:color w:val="auto"/>
        </w:rPr>
      </w:pPr>
      <w:r>
        <w:rPr>
          <w:rFonts w:ascii="Arial" w:cs="Arial" w:eastAsia="Arial" w:hAnsi="Arial"/>
          <w:sz w:val="15"/>
          <w:szCs w:val="15"/>
          <w:color w:val="auto"/>
        </w:rPr>
        <w:t>New York Stock Exchange</w:t>
      </w:r>
    </w:p>
    <w:p>
      <w:pPr>
        <w:spacing w:after="0" w:line="167" w:lineRule="exact"/>
        <w:rPr>
          <w:sz w:val="24"/>
          <w:szCs w:val="24"/>
          <w:color w:val="auto"/>
        </w:rPr>
      </w:pPr>
    </w:p>
    <w:p>
      <w:pPr>
        <w:sectPr>
          <w:pgSz w:w="11900" w:h="16838" w:orient="portrait"/>
          <w:cols w:equalWidth="0" w:num="3">
            <w:col w:w="4520" w:space="720"/>
            <w:col w:w="1700" w:space="720"/>
            <w:col w:w="3580"/>
          </w:cols>
          <w:pgMar w:left="320" w:top="244"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 None</w:t>
      </w:r>
    </w:p>
    <w:p>
      <w:pPr>
        <w:sectPr>
          <w:pgSz w:w="11900" w:h="16838" w:orient="portrait"/>
          <w:cols w:equalWidth="0" w:num="1">
            <w:col w:w="11240"/>
          </w:cols>
          <w:pgMar w:left="320" w:top="244" w:right="339" w:bottom="1440" w:gutter="0" w:footer="0" w:header="0"/>
          <w:type w:val="continuous"/>
        </w:sectPr>
      </w:pPr>
    </w:p>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7180" w:space="200"/>
            <w:col w:w="220" w:space="140"/>
            <w:col w:w="140" w:space="200"/>
            <w:col w:w="180" w:space="80"/>
            <w:col w:w="2900"/>
          </w:cols>
          <w:pgMar w:left="320" w:top="244"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4">
            <w:col w:w="7620" w:space="160"/>
            <w:col w:w="120" w:space="200"/>
            <w:col w:w="180" w:space="80"/>
            <w:col w:w="2880"/>
          </w:cols>
          <w:pgMar w:left="320" w:top="244" w:right="339" w:bottom="1440" w:gutter="0" w:footer="0" w:header="0"/>
          <w:type w:val="continuous"/>
        </w:sect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emerging growth company. See definition of “accelerated filer, large accelerated filer, smaller reporting company and emerging growth company” in Rule 12b-2 of the Exchange Act.</w:t>
      </w:r>
    </w:p>
    <w:p>
      <w:pPr>
        <w:spacing w:after="0" w:line="22" w:lineRule="exact"/>
        <w:rPr>
          <w:sz w:val="24"/>
          <w:szCs w:val="24"/>
          <w:color w:val="auto"/>
        </w:rPr>
      </w:pPr>
    </w:p>
    <w:p>
      <w:pPr>
        <w:ind w:left="860" w:right="3280" w:hanging="858"/>
        <w:spacing w:after="0" w:line="208" w:lineRule="exact"/>
        <w:rPr>
          <w:sz w:val="20"/>
          <w:szCs w:val="20"/>
          <w:color w:val="auto"/>
        </w:rPr>
      </w:pPr>
      <w:r>
        <w:rPr>
          <w:rFonts w:ascii="Arial" w:cs="Arial" w:eastAsia="Arial" w:hAnsi="Arial"/>
          <w:sz w:val="15"/>
          <w:szCs w:val="15"/>
          <w:color w:val="auto"/>
        </w:rPr>
        <w:t>(Check One): Large Accelerated Filer</w:t>
      </w:r>
      <w:r>
        <w:rPr>
          <w:sz w:val="20"/>
          <w:szCs w:val="20"/>
          <w:color w:val="auto"/>
        </w:rPr>
        <w:t xml:space="preserve"> </w:t>
      </w:r>
      <w:r>
        <w:rPr>
          <w:rFonts w:ascii="MS PGothic" w:cs="MS PGothic" w:eastAsia="MS PGothic" w:hAnsi="MS PGothic"/>
          <w:sz w:val="15"/>
          <w:szCs w:val="15"/>
          <w:color w:val="auto"/>
        </w:rPr>
        <w:t xml:space="preserve">☑ </w:t>
      </w:r>
      <w:r>
        <w:rPr>
          <w:rFonts w:ascii="Arial" w:cs="Arial" w:eastAsia="Arial" w:hAnsi="Arial"/>
          <w:sz w:val="15"/>
          <w:szCs w:val="15"/>
          <w:color w:val="auto"/>
        </w:rPr>
        <w:t>Accelerated Filer</w:t>
      </w:r>
      <w:r>
        <w:rPr>
          <w:rFonts w:ascii="MS PGothic" w:cs="MS PGothic" w:eastAsia="MS PGothic" w:hAnsi="MS PGothic"/>
          <w:sz w:val="15"/>
          <w:szCs w:val="15"/>
          <w:color w:val="auto"/>
        </w:rPr>
        <w:t xml:space="preserve"> ☐ </w:t>
      </w:r>
      <w:r>
        <w:rPr>
          <w:rFonts w:ascii="Arial" w:cs="Arial" w:eastAsia="Arial" w:hAnsi="Arial"/>
          <w:sz w:val="15"/>
          <w:szCs w:val="15"/>
          <w:color w:val="auto"/>
        </w:rPr>
        <w:t>Non-accelerated Filer</w:t>
      </w:r>
      <w:r>
        <w:rPr>
          <w:rFonts w:ascii="MS PGothic" w:cs="MS PGothic" w:eastAsia="MS PGothic" w:hAnsi="MS PGothic"/>
          <w:sz w:val="15"/>
          <w:szCs w:val="15"/>
          <w:color w:val="auto"/>
        </w:rPr>
        <w:t xml:space="preserve"> ☐ </w:t>
      </w:r>
      <w:r>
        <w:rPr>
          <w:rFonts w:ascii="Arial" w:cs="Arial" w:eastAsia="Arial" w:hAnsi="Arial"/>
          <w:sz w:val="15"/>
          <w:szCs w:val="15"/>
          <w:color w:val="auto"/>
        </w:rPr>
        <w:t>Smaller Reporting Company</w:t>
      </w:r>
      <w:r>
        <w:rPr>
          <w:rFonts w:ascii="MS PGothic" w:cs="MS PGothic" w:eastAsia="MS PGothic" w:hAnsi="MS PGothic"/>
          <w:sz w:val="15"/>
          <w:szCs w:val="15"/>
          <w:color w:val="auto"/>
        </w:rPr>
        <w:t xml:space="preserve"> ☐ </w:t>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60" w:lineRule="exact"/>
        <w:rPr>
          <w:sz w:val="24"/>
          <w:szCs w:val="24"/>
          <w:color w:val="auto"/>
        </w:rPr>
      </w:pPr>
    </w:p>
    <w:p>
      <w:pPr>
        <w:ind w:right="20"/>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14" w:lineRule="exact"/>
        <w:rPr>
          <w:sz w:val="24"/>
          <w:szCs w:val="24"/>
          <w:color w:val="auto"/>
        </w:rPr>
      </w:pPr>
    </w:p>
    <w:p>
      <w:pPr>
        <w:spacing w:after="0" w:line="18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ins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73" w:lineRule="exact"/>
        <w:tabs>
          <w:tab w:leader="none" w:pos="70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 xml:space="preserve">The aggregate market value of the voting stock held by non-affiliates of the registrant, based upon the closing price of said stock on the New York Stock Exchange – Composite Transaction Listing on June 30, 2021 ($474.50 per share), </w:t>
      </w:r>
      <w:r>
        <w:rPr>
          <w:rFonts w:ascii="Arial" w:cs="Arial" w:eastAsia="Arial" w:hAnsi="Arial"/>
          <w:sz w:val="17"/>
          <w:szCs w:val="17"/>
          <w:color w:val="auto"/>
        </w:rPr>
        <w:t>was</w:t>
      </w:r>
      <w:r>
        <w:rPr>
          <w:rFonts w:ascii="Arial" w:cs="Arial" w:eastAsia="Arial" w:hAnsi="Arial"/>
          <w:sz w:val="15"/>
          <w:szCs w:val="15"/>
          <w:color w:val="auto"/>
        </w:rPr>
        <w:t xml:space="preserve"> $7,331,967,357.</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 xml:space="preserve">At </w:t>
            </w:r>
            <w:r>
              <w:rPr>
                <w:rFonts w:ascii="Arial" w:cs="Arial" w:eastAsia="Arial" w:hAnsi="Arial"/>
                <w:sz w:val="15"/>
                <w:szCs w:val="15"/>
                <w:color w:val="auto"/>
              </w:rPr>
              <w:t>February 11, 2022, 14,988,567 shares of Chemed Capital Stock (par value $1 per share) were outstanding.</w:t>
            </w:r>
          </w:p>
        </w:tc>
        <w:tc>
          <w:tcPr>
            <w:tcW w:w="3360" w:type="dxa"/>
            <w:vAlign w:val="bottom"/>
          </w:tcPr>
          <w:p>
            <w:pPr>
              <w:spacing w:after="0"/>
              <w:rPr>
                <w:sz w:val="20"/>
                <w:szCs w:val="20"/>
                <w:color w:val="auto"/>
              </w:rPr>
            </w:pPr>
          </w:p>
        </w:tc>
      </w:tr>
      <w:tr>
        <w:trPr>
          <w:trHeight w:val="262"/>
        </w:trPr>
        <w:tc>
          <w:tcPr>
            <w:tcW w:w="7880" w:type="dxa"/>
            <w:vAlign w:val="bottom"/>
          </w:tcPr>
          <w:p>
            <w:pPr>
              <w:spacing w:after="0"/>
              <w:rPr>
                <w:sz w:val="20"/>
                <w:szCs w:val="20"/>
                <w:color w:val="auto"/>
              </w:rPr>
            </w:pPr>
            <w:r>
              <w:rPr>
                <w:rFonts w:ascii="Arial" w:cs="Arial" w:eastAsia="Arial" w:hAnsi="Arial"/>
                <w:sz w:val="15"/>
                <w:szCs w:val="15"/>
                <w:color w:val="auto"/>
              </w:rPr>
              <w:t>DOCUMENTS INCORPORATED BY REFERENCE</w:t>
            </w:r>
          </w:p>
        </w:tc>
        <w:tc>
          <w:tcPr>
            <w:tcW w:w="3360" w:type="dxa"/>
            <w:vAlign w:val="bottom"/>
          </w:tcPr>
          <w:p>
            <w:pPr>
              <w:spacing w:after="0"/>
              <w:rPr>
                <w:sz w:val="22"/>
                <w:szCs w:val="22"/>
                <w:color w:val="auto"/>
              </w:rPr>
            </w:pPr>
          </w:p>
        </w:tc>
      </w:tr>
      <w:tr>
        <w:trPr>
          <w:trHeight w:val="251"/>
        </w:trPr>
        <w:tc>
          <w:tcPr>
            <w:tcW w:w="7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Document</w:t>
            </w:r>
          </w:p>
        </w:tc>
        <w:tc>
          <w:tcPr>
            <w:tcW w:w="3360" w:type="dxa"/>
            <w:vAlign w:val="bottom"/>
            <w:tcBorders>
              <w:bottom w:val="single" w:sz="8" w:color="auto"/>
            </w:tcBorders>
          </w:tcPr>
          <w:p>
            <w:pPr>
              <w:ind w:left="1140"/>
              <w:spacing w:after="0"/>
              <w:rPr>
                <w:sz w:val="20"/>
                <w:szCs w:val="20"/>
                <w:color w:val="auto"/>
              </w:rPr>
            </w:pPr>
            <w:r>
              <w:rPr>
                <w:rFonts w:ascii="Arial" w:cs="Arial" w:eastAsia="Arial" w:hAnsi="Arial"/>
                <w:sz w:val="15"/>
                <w:szCs w:val="15"/>
                <w:b w:val="1"/>
                <w:bCs w:val="1"/>
                <w:color w:val="auto"/>
              </w:rPr>
              <w:t>Where Incorporated</w:t>
            </w:r>
          </w:p>
        </w:tc>
      </w:tr>
      <w:tr>
        <w:trPr>
          <w:trHeight w:val="142"/>
        </w:trPr>
        <w:tc>
          <w:tcPr>
            <w:tcW w:w="7880" w:type="dxa"/>
            <w:vAlign w:val="bottom"/>
          </w:tcPr>
          <w:p>
            <w:pPr>
              <w:spacing w:after="0" w:line="142" w:lineRule="exact"/>
              <w:rPr>
                <w:sz w:val="20"/>
                <w:szCs w:val="20"/>
                <w:color w:val="auto"/>
              </w:rPr>
            </w:pPr>
            <w:r>
              <w:rPr>
                <w:rFonts w:ascii="Arial" w:cs="Arial" w:eastAsia="Arial" w:hAnsi="Arial"/>
                <w:sz w:val="15"/>
                <w:szCs w:val="15"/>
                <w:color w:val="auto"/>
              </w:rPr>
              <w:t>2021 Annual Report to Stockholders (specified portions)</w:t>
            </w:r>
          </w:p>
        </w:tc>
        <w:tc>
          <w:tcPr>
            <w:tcW w:w="3360" w:type="dxa"/>
            <w:vAlign w:val="bottom"/>
          </w:tcPr>
          <w:p>
            <w:pPr>
              <w:ind w:left="1140"/>
              <w:spacing w:after="0" w:line="142" w:lineRule="exact"/>
              <w:rPr>
                <w:sz w:val="20"/>
                <w:szCs w:val="20"/>
                <w:color w:val="auto"/>
              </w:rPr>
            </w:pPr>
            <w:r>
              <w:rPr>
                <w:rFonts w:ascii="Arial" w:cs="Arial" w:eastAsia="Arial" w:hAnsi="Arial"/>
                <w:sz w:val="15"/>
                <w:szCs w:val="15"/>
                <w:color w:val="auto"/>
              </w:rPr>
              <w:t>Parts I, II, and IV</w:t>
            </w:r>
          </w:p>
        </w:tc>
      </w:tr>
      <w:tr>
        <w:trPr>
          <w:trHeight w:val="175"/>
        </w:trPr>
        <w:tc>
          <w:tcPr>
            <w:tcW w:w="7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Proxy Statement for Annual Meeting to be held May 16, 2022</w:t>
            </w:r>
          </w:p>
        </w:tc>
        <w:tc>
          <w:tcPr>
            <w:tcW w:w="3360" w:type="dxa"/>
            <w:vAlign w:val="bottom"/>
            <w:tcBorders>
              <w:bottom w:val="single" w:sz="8" w:color="auto"/>
            </w:tcBorders>
          </w:tcPr>
          <w:p>
            <w:pPr>
              <w:ind w:left="1140"/>
              <w:spacing w:after="0"/>
              <w:rPr>
                <w:sz w:val="20"/>
                <w:szCs w:val="20"/>
                <w:color w:val="auto"/>
              </w:rPr>
            </w:pPr>
            <w:r>
              <w:rPr>
                <w:rFonts w:ascii="Arial" w:cs="Arial" w:eastAsia="Arial" w:hAnsi="Arial"/>
                <w:sz w:val="15"/>
                <w:szCs w:val="15"/>
                <w:color w:val="auto"/>
              </w:rPr>
              <w:t>Part III</w:t>
            </w: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r>
        <w:trPr>
          <w:trHeight w:val="878"/>
        </w:trPr>
        <w:tc>
          <w:tcPr>
            <w:tcW w:w="78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rPr>
              <w:t>CHEMED CORPORATION</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8"/>
              </w:rPr>
              <w:t>2021 FORM 10-K ANNUAL REPORT</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89"/>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40" w:type="dxa"/>
            <w:vAlign w:val="bottom"/>
            <w:gridSpan w:val="9"/>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520" w:type="dxa"/>
            <w:vAlign w:val="bottom"/>
            <w:gridSpan w:val="8"/>
          </w:tcPr>
          <w:p>
            <w:pPr>
              <w:spacing w:after="0"/>
              <w:rPr>
                <w:sz w:val="24"/>
                <w:szCs w:val="24"/>
                <w:color w:val="auto"/>
              </w:rPr>
            </w:pPr>
          </w:p>
        </w:tc>
        <w:tc>
          <w:tcPr>
            <w:tcW w:w="91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060" w:type="dxa"/>
            <w:vAlign w:val="bottom"/>
          </w:tcPr>
          <w:p>
            <w:pPr>
              <w:jc w:val="center"/>
              <w:ind w:left="57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vMerge w:val="restart"/>
          </w:tcPr>
          <w:p>
            <w:pPr>
              <w:jc w:val="center"/>
              <w:ind w:left="590"/>
              <w:spacing w:after="0" w:line="189"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9"/>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Item 1A</w:t>
              </w:r>
            </w:hyperlink>
          </w:p>
        </w:tc>
        <w:tc>
          <w:tcPr>
            <w:tcW w:w="9120" w:type="dxa"/>
            <w:vAlign w:val="bottom"/>
            <w:gridSpan w:val="22"/>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Borders>
              <w:top w:val="single" w:sz="8" w:color="0000FF"/>
            </w:tcBorders>
            <w:gridSpan w:val="3"/>
          </w:tcPr>
          <w:p>
            <w:pPr>
              <w:spacing w:after="0" w:line="16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Item 1B.</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top w:val="single" w:sz="8" w:color="0000FF"/>
            </w:tcBorders>
            <w:gridSpan w:val="4"/>
          </w:tcPr>
          <w:p>
            <w:pPr>
              <w:spacing w:after="0" w:line="169" w:lineRule="exact"/>
              <w:rPr>
                <w:rFonts w:ascii="Arial" w:cs="Arial" w:eastAsia="Arial" w:hAnsi="Arial"/>
                <w:sz w:val="18"/>
                <w:szCs w:val="18"/>
                <w:color w:val="0000FF"/>
                <w:w w:val="96"/>
              </w:rPr>
            </w:pPr>
            <w:hyperlink w:anchor="page23">
              <w:r>
                <w:rPr>
                  <w:rFonts w:ascii="Arial" w:cs="Arial" w:eastAsia="Arial" w:hAnsi="Arial"/>
                  <w:sz w:val="18"/>
                  <w:szCs w:val="18"/>
                  <w:color w:val="0000FF"/>
                  <w:w w:val="96"/>
                </w:rPr>
                <w:t>Unresolved</w:t>
              </w:r>
            </w:hyperlink>
          </w:p>
        </w:tc>
        <w:tc>
          <w:tcPr>
            <w:tcW w:w="8220" w:type="dxa"/>
            <w:vAlign w:val="bottom"/>
            <w:gridSpan w:val="18"/>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Staff Comments</w:t>
              </w:r>
            </w:hyperlink>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w:anchor="page23">
              <w:r>
                <w:rPr>
                  <w:rFonts w:ascii="Arial" w:cs="Arial" w:eastAsia="Arial" w:hAnsi="Arial"/>
                  <w:sz w:val="18"/>
                  <w:szCs w:val="18"/>
                  <w:color w:val="0000FF"/>
                  <w:w w:val="87"/>
                </w:rPr>
                <w:t>Item 2.</w:t>
              </w:r>
            </w:hyperlink>
          </w:p>
        </w:tc>
        <w:tc>
          <w:tcPr>
            <w:tcW w:w="1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7"/>
              </w:rPr>
            </w:pPr>
            <w:hyperlink w:anchor="page23">
              <w:r>
                <w:rPr>
                  <w:rFonts w:ascii="Arial" w:cs="Arial" w:eastAsia="Arial" w:hAnsi="Arial"/>
                  <w:sz w:val="18"/>
                  <w:szCs w:val="18"/>
                  <w:color w:val="0000FF"/>
                  <w:w w:val="87"/>
                </w:rPr>
                <w:t>Properties</w:t>
              </w:r>
            </w:hyperlink>
          </w:p>
        </w:tc>
        <w:tc>
          <w:tcPr>
            <w:tcW w:w="1300" w:type="dxa"/>
            <w:vAlign w:val="bottom"/>
            <w:tcBorders>
              <w:top w:val="single" w:sz="8" w:color="0000FF"/>
            </w:tcBorders>
            <w:gridSpan w:val="7"/>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bottom w:val="single" w:sz="8" w:color="0000FF"/>
            </w:tcBorders>
          </w:tcPr>
          <w:p>
            <w:pPr>
              <w:spacing w:after="0" w:line="169" w:lineRule="exact"/>
              <w:rPr>
                <w:rFonts w:ascii="Arial" w:cs="Arial" w:eastAsia="Arial" w:hAnsi="Arial"/>
                <w:sz w:val="18"/>
                <w:szCs w:val="18"/>
                <w:color w:val="0000FF"/>
                <w:w w:val="87"/>
              </w:rPr>
            </w:pPr>
            <w:hyperlink w:anchor="page23">
              <w:r>
                <w:rPr>
                  <w:rFonts w:ascii="Arial" w:cs="Arial" w:eastAsia="Arial" w:hAnsi="Arial"/>
                  <w:sz w:val="18"/>
                  <w:szCs w:val="18"/>
                  <w:color w:val="0000FF"/>
                  <w:w w:val="87"/>
                </w:rPr>
                <w:t>Item 3.</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Borders>
              <w:bottom w:val="single" w:sz="8" w:color="0000FF"/>
            </w:tcBorders>
            <w:gridSpan w:val="6"/>
          </w:tcPr>
          <w:p>
            <w:pPr>
              <w:spacing w:after="0" w:line="169" w:lineRule="exact"/>
              <w:rPr>
                <w:rFonts w:ascii="Arial" w:cs="Arial" w:eastAsia="Arial" w:hAnsi="Arial"/>
                <w:sz w:val="18"/>
                <w:szCs w:val="18"/>
                <w:color w:val="0000FF"/>
                <w:w w:val="88"/>
              </w:rPr>
            </w:pPr>
            <w:hyperlink w:anchor="page23">
              <w:r>
                <w:rPr>
                  <w:rFonts w:ascii="Arial" w:cs="Arial" w:eastAsia="Arial" w:hAnsi="Arial"/>
                  <w:sz w:val="18"/>
                  <w:szCs w:val="18"/>
                  <w:color w:val="0000FF"/>
                  <w:w w:val="88"/>
                </w:rPr>
                <w:t>Legal Proceedings</w:t>
              </w:r>
            </w:hyperlink>
          </w:p>
        </w:tc>
        <w:tc>
          <w:tcPr>
            <w:tcW w:w="7780" w:type="dxa"/>
            <w:vAlign w:val="bottom"/>
            <w:gridSpan w:val="16"/>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line="169" w:lineRule="exact"/>
              <w:rPr>
                <w:rFonts w:ascii="Arial" w:cs="Arial" w:eastAsia="Arial" w:hAnsi="Arial"/>
                <w:sz w:val="18"/>
                <w:szCs w:val="18"/>
                <w:color w:val="0000FF"/>
                <w:w w:val="87"/>
              </w:rPr>
            </w:pPr>
            <w:hyperlink w:anchor="page23">
              <w:r>
                <w:rPr>
                  <w:rFonts w:ascii="Arial" w:cs="Arial" w:eastAsia="Arial" w:hAnsi="Arial"/>
                  <w:sz w:val="18"/>
                  <w:szCs w:val="18"/>
                  <w:color w:val="0000FF"/>
                  <w:w w:val="87"/>
                </w:rPr>
                <w:t>Item 4.</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120" w:type="dxa"/>
            <w:vAlign w:val="bottom"/>
            <w:gridSpan w:val="22"/>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40" w:type="dxa"/>
            <w:vAlign w:val="bottom"/>
            <w:gridSpan w:val="9"/>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5.</w:t>
              </w:r>
            </w:hyperlink>
          </w:p>
        </w:tc>
        <w:tc>
          <w:tcPr>
            <w:tcW w:w="9120" w:type="dxa"/>
            <w:vAlign w:val="bottom"/>
            <w:gridSpan w:val="22"/>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Market for the Registrant’s Common Equity, Related Stockholder Matters and Issuer Purchases of Equity Securities</w:t>
              </w:r>
            </w:hyperlink>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w:anchor="page28">
              <w:r>
                <w:rPr>
                  <w:rFonts w:ascii="Arial" w:cs="Arial" w:eastAsia="Arial" w:hAnsi="Arial"/>
                  <w:sz w:val="18"/>
                  <w:szCs w:val="18"/>
                  <w:color w:val="0000FF"/>
                  <w:w w:val="87"/>
                </w:rPr>
                <w:t>Item 6.</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5"/>
              </w:rPr>
            </w:pPr>
            <w:hyperlink w:anchor="page28">
              <w:r>
                <w:rPr>
                  <w:rFonts w:ascii="Arial" w:cs="Arial" w:eastAsia="Arial" w:hAnsi="Arial"/>
                  <w:sz w:val="18"/>
                  <w:szCs w:val="18"/>
                  <w:color w:val="0000FF"/>
                  <w:w w:val="85"/>
                </w:rPr>
                <w:t>Reserved</w:t>
              </w:r>
            </w:hyperlink>
          </w:p>
        </w:tc>
        <w:tc>
          <w:tcPr>
            <w:tcW w:w="7660" w:type="dxa"/>
            <w:vAlign w:val="bottom"/>
            <w:tcBorders>
              <w:top w:val="single" w:sz="8" w:color="0000FF"/>
            </w:tcBorders>
            <w:gridSpan w:val="19"/>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line="169" w:lineRule="exact"/>
              <w:rPr>
                <w:rFonts w:ascii="Arial" w:cs="Arial" w:eastAsia="Arial" w:hAnsi="Arial"/>
                <w:sz w:val="18"/>
                <w:szCs w:val="18"/>
                <w:color w:val="0000FF"/>
                <w:w w:val="87"/>
              </w:rPr>
            </w:pPr>
            <w:hyperlink w:anchor="page28">
              <w:r>
                <w:rPr>
                  <w:rFonts w:ascii="Arial" w:cs="Arial" w:eastAsia="Arial" w:hAnsi="Arial"/>
                  <w:sz w:val="18"/>
                  <w:szCs w:val="18"/>
                  <w:color w:val="0000FF"/>
                  <w:w w:val="87"/>
                </w:rPr>
                <w:t>Item 7.</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120" w:type="dxa"/>
            <w:vAlign w:val="bottom"/>
            <w:gridSpan w:val="22"/>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line="169" w:lineRule="exact"/>
              <w:rPr>
                <w:rFonts w:ascii="Arial" w:cs="Arial" w:eastAsia="Arial" w:hAnsi="Arial"/>
                <w:sz w:val="18"/>
                <w:szCs w:val="18"/>
                <w:color w:val="0000FF"/>
                <w:w w:val="71"/>
              </w:rPr>
            </w:pPr>
            <w:hyperlink w:anchor="page28">
              <w:r>
                <w:rPr>
                  <w:rFonts w:ascii="Arial" w:cs="Arial" w:eastAsia="Arial" w:hAnsi="Arial"/>
                  <w:sz w:val="18"/>
                  <w:szCs w:val="18"/>
                  <w:color w:val="0000FF"/>
                  <w:w w:val="71"/>
                </w:rPr>
                <w:t>Item.7A.</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Item 8.</w:t>
              </w:r>
            </w:hyperlink>
          </w:p>
        </w:tc>
        <w:tc>
          <w:tcPr>
            <w:tcW w:w="320" w:type="dxa"/>
            <w:vAlign w:val="bottom"/>
          </w:tcPr>
          <w:p>
            <w:pPr>
              <w:spacing w:after="0"/>
              <w:rPr>
                <w:sz w:val="14"/>
                <w:szCs w:val="14"/>
                <w:color w:val="auto"/>
              </w:rPr>
            </w:pPr>
          </w:p>
        </w:tc>
        <w:tc>
          <w:tcPr>
            <w:tcW w:w="43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Financial Statements and Supplementary Data</w:t>
              </w:r>
            </w:hyperlink>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w:anchor="page28">
              <w:r>
                <w:rPr>
                  <w:rFonts w:ascii="Arial" w:cs="Arial" w:eastAsia="Arial" w:hAnsi="Arial"/>
                  <w:sz w:val="18"/>
                  <w:szCs w:val="18"/>
                  <w:color w:val="0000FF"/>
                  <w:w w:val="87"/>
                </w:rPr>
                <w:t>Item 9.</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32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83"/>
              </w:rPr>
            </w:pPr>
            <w:hyperlink w:anchor="page28">
              <w:r>
                <w:rPr>
                  <w:rFonts w:ascii="Arial" w:cs="Arial" w:eastAsia="Arial" w:hAnsi="Arial"/>
                  <w:sz w:val="18"/>
                  <w:szCs w:val="18"/>
                  <w:color w:val="0000FF"/>
                  <w:w w:val="83"/>
                </w:rPr>
                <w:t>Changes in and Disagreements with Accountants</w:t>
              </w:r>
            </w:hyperlink>
          </w:p>
        </w:tc>
        <w:tc>
          <w:tcPr>
            <w:tcW w:w="3160" w:type="dxa"/>
            <w:vAlign w:val="bottom"/>
            <w:tcBorders>
              <w:bottom w:val="single" w:sz="8" w:color="0000FF"/>
            </w:tcBorders>
            <w:gridSpan w:val="6"/>
          </w:tcPr>
          <w:p>
            <w:pPr>
              <w:ind w:left="260"/>
              <w:spacing w:after="0" w:line="169"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on Accounting and Financial Disclosure</w:t>
              </w:r>
            </w:hyperlink>
          </w:p>
        </w:tc>
        <w:tc>
          <w:tcPr>
            <w:tcW w:w="2640" w:type="dxa"/>
            <w:vAlign w:val="bottom"/>
            <w:gridSpan w:val="3"/>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9"/>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Item 9A.</w:t>
              </w:r>
            </w:hyperlink>
          </w:p>
        </w:tc>
        <w:tc>
          <w:tcPr>
            <w:tcW w:w="6480" w:type="dxa"/>
            <w:vAlign w:val="bottom"/>
            <w:gridSpan w:val="19"/>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82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Item 9B.</w:t>
              </w:r>
            </w:hyperlink>
          </w:p>
        </w:tc>
        <w:tc>
          <w:tcPr>
            <w:tcW w:w="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w:anchor="page28">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3"/>
          </w:tcPr>
          <w:p>
            <w:pPr>
              <w:spacing w:after="0"/>
              <w:rPr>
                <w:sz w:val="14"/>
                <w:szCs w:val="14"/>
                <w:color w:val="auto"/>
              </w:rPr>
            </w:pPr>
          </w:p>
        </w:tc>
        <w:tc>
          <w:tcPr>
            <w:tcW w:w="1820" w:type="dxa"/>
            <w:vAlign w:val="bottom"/>
            <w:gridSpan w:val="2"/>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bottom w:val="single" w:sz="8" w:color="0000FF"/>
            </w:tcBorders>
            <w:gridSpan w:val="7"/>
          </w:tcPr>
          <w:p>
            <w:pPr>
              <w:spacing w:after="0" w:line="169" w:lineRule="exact"/>
              <w:rPr>
                <w:rFonts w:ascii="Arial" w:cs="Arial" w:eastAsia="Arial" w:hAnsi="Arial"/>
                <w:sz w:val="18"/>
                <w:szCs w:val="18"/>
                <w:color w:val="0000FF"/>
                <w:w w:val="99"/>
              </w:rPr>
            </w:pPr>
            <w:hyperlink w:anchor="page29">
              <w:r>
                <w:rPr>
                  <w:rFonts w:ascii="Arial" w:cs="Arial" w:eastAsia="Arial" w:hAnsi="Arial"/>
                  <w:sz w:val="18"/>
                  <w:szCs w:val="18"/>
                  <w:color w:val="0000FF"/>
                  <w:w w:val="99"/>
                </w:rPr>
                <w:t>Item 9C.</w:t>
              </w:r>
            </w:hyperlink>
          </w:p>
        </w:tc>
        <w:tc>
          <w:tcPr>
            <w:tcW w:w="340" w:type="dxa"/>
            <w:vAlign w:val="bottom"/>
            <w:gridSpan w:val="2"/>
          </w:tcPr>
          <w:p>
            <w:pPr>
              <w:spacing w:after="0"/>
              <w:rPr>
                <w:sz w:val="14"/>
                <w:szCs w:val="14"/>
                <w:color w:val="auto"/>
              </w:rPr>
            </w:pPr>
          </w:p>
        </w:tc>
        <w:tc>
          <w:tcPr>
            <w:tcW w:w="4900" w:type="dxa"/>
            <w:vAlign w:val="bottom"/>
            <w:tcBorders>
              <w:bottom w:val="single" w:sz="8" w:color="0000FF"/>
            </w:tcBorders>
            <w:gridSpan w:val="16"/>
          </w:tcPr>
          <w:p>
            <w:pPr>
              <w:spacing w:after="0" w:line="169"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Disclosure Regarding Foreign Jurisdictions that Prevent Inspections</w:t>
              </w:r>
            </w:hyperlink>
          </w:p>
        </w:tc>
        <w:tc>
          <w:tcPr>
            <w:tcW w:w="4220" w:type="dxa"/>
            <w:vAlign w:val="bottom"/>
            <w:gridSpan w:val="6"/>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0" w:type="dxa"/>
            <w:vAlign w:val="bottom"/>
            <w:gridSpan w:val="9"/>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10.</w:t>
              </w:r>
            </w:hyperlink>
          </w:p>
        </w:tc>
        <w:tc>
          <w:tcPr>
            <w:tcW w:w="9120" w:type="dxa"/>
            <w:vAlign w:val="bottom"/>
            <w:gridSpan w:val="2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Directors, Executive Officers and Corporate Governance</w:t>
              </w:r>
            </w:hyperlink>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Borders>
              <w:top w:val="single" w:sz="8" w:color="0000FF"/>
            </w:tcBorders>
            <w:gridSpan w:val="4"/>
          </w:tcPr>
          <w:p>
            <w:pPr>
              <w:spacing w:after="0" w:line="169" w:lineRule="exact"/>
              <w:rPr>
                <w:rFonts w:ascii="Arial" w:cs="Arial" w:eastAsia="Arial" w:hAnsi="Arial"/>
                <w:sz w:val="18"/>
                <w:szCs w:val="18"/>
                <w:color w:val="0000FF"/>
                <w:w w:val="95"/>
              </w:rPr>
            </w:pPr>
            <w:hyperlink w:anchor="page30">
              <w:r>
                <w:rPr>
                  <w:rFonts w:ascii="Arial" w:cs="Arial" w:eastAsia="Arial" w:hAnsi="Arial"/>
                  <w:sz w:val="18"/>
                  <w:szCs w:val="18"/>
                  <w:color w:val="0000FF"/>
                  <w:w w:val="95"/>
                </w:rPr>
                <w:t>Item 11.</w:t>
              </w:r>
            </w:hyperlink>
          </w:p>
        </w:tc>
        <w:tc>
          <w:tcPr>
            <w:tcW w:w="2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41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Executive Compensation</w:t>
              </w:r>
            </w:hyperlink>
          </w:p>
        </w:tc>
        <w:tc>
          <w:tcPr>
            <w:tcW w:w="1300" w:type="dxa"/>
            <w:vAlign w:val="bottom"/>
            <w:gridSpan w:val="3"/>
          </w:tcPr>
          <w:p>
            <w:pPr>
              <w:spacing w:after="0"/>
              <w:rPr>
                <w:sz w:val="14"/>
                <w:szCs w:val="14"/>
                <w:color w:val="auto"/>
              </w:rPr>
            </w:pPr>
          </w:p>
        </w:tc>
        <w:tc>
          <w:tcPr>
            <w:tcW w:w="1900" w:type="dxa"/>
            <w:vAlign w:val="bottom"/>
            <w:gridSpan w:val="3"/>
          </w:tcPr>
          <w:p>
            <w:pPr>
              <w:spacing w:after="0"/>
              <w:rPr>
                <w:sz w:val="14"/>
                <w:szCs w:val="14"/>
                <w:color w:val="auto"/>
              </w:rPr>
            </w:pPr>
          </w:p>
        </w:tc>
        <w:tc>
          <w:tcPr>
            <w:tcW w:w="1820" w:type="dxa"/>
            <w:vAlign w:val="bottom"/>
            <w:gridSpan w:val="2"/>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Borders>
              <w:top w:val="single" w:sz="8" w:color="0000FF"/>
            </w:tcBorders>
            <w:gridSpan w:val="2"/>
          </w:tcPr>
          <w:p>
            <w:pPr>
              <w:spacing w:after="0" w:line="16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Item 12.</w:t>
              </w:r>
            </w:hyperlink>
          </w:p>
        </w:tc>
        <w:tc>
          <w:tcPr>
            <w:tcW w:w="60" w:type="dxa"/>
            <w:vAlign w:val="bottom"/>
            <w:gridSpan w:val="3"/>
          </w:tcPr>
          <w:p>
            <w:pPr>
              <w:spacing w:after="0"/>
              <w:rPr>
                <w:sz w:val="14"/>
                <w:szCs w:val="14"/>
                <w:color w:val="auto"/>
              </w:rPr>
            </w:pPr>
          </w:p>
        </w:tc>
        <w:tc>
          <w:tcPr>
            <w:tcW w:w="380" w:type="dxa"/>
            <w:vAlign w:val="bottom"/>
            <w:gridSpan w:val="4"/>
          </w:tcPr>
          <w:p>
            <w:pPr>
              <w:spacing w:after="0"/>
              <w:rPr>
                <w:sz w:val="14"/>
                <w:szCs w:val="14"/>
                <w:color w:val="auto"/>
              </w:rPr>
            </w:pPr>
          </w:p>
        </w:tc>
        <w:tc>
          <w:tcPr>
            <w:tcW w:w="180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Security Ownership of</w:t>
              </w:r>
            </w:hyperlink>
          </w:p>
        </w:tc>
        <w:tc>
          <w:tcPr>
            <w:tcW w:w="7320" w:type="dxa"/>
            <w:vAlign w:val="bottom"/>
            <w:gridSpan w:val="13"/>
          </w:tcPr>
          <w:p>
            <w:pPr>
              <w:jc w:val="center"/>
              <w:ind w:right="1820"/>
              <w:spacing w:after="0" w:line="169" w:lineRule="exact"/>
              <w:rPr>
                <w:rFonts w:ascii="Arial" w:cs="Arial" w:eastAsia="Arial" w:hAnsi="Arial"/>
                <w:sz w:val="18"/>
                <w:szCs w:val="18"/>
                <w:color w:val="0000FF"/>
                <w:w w:val="88"/>
              </w:rPr>
            </w:pPr>
            <w:hyperlink w:anchor="page30">
              <w:r>
                <w:rPr>
                  <w:rFonts w:ascii="Arial" w:cs="Arial" w:eastAsia="Arial" w:hAnsi="Arial"/>
                  <w:sz w:val="18"/>
                  <w:szCs w:val="18"/>
                  <w:color w:val="0000FF"/>
                  <w:w w:val="88"/>
                </w:rPr>
                <w:t>Certain Beneficial Owners and Management and Related Stockholder Matters</w:t>
              </w:r>
            </w:hyperlink>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0000FF"/>
            </w:tcBorders>
            <w:gridSpan w:val="5"/>
          </w:tcPr>
          <w:p>
            <w:pPr>
              <w:spacing w:after="0" w:line="169" w:lineRule="exact"/>
              <w:rPr>
                <w:rFonts w:ascii="Arial" w:cs="Arial" w:eastAsia="Arial" w:hAnsi="Arial"/>
                <w:sz w:val="18"/>
                <w:szCs w:val="18"/>
                <w:color w:val="0000FF"/>
                <w:w w:val="98"/>
              </w:rPr>
            </w:pPr>
            <w:hyperlink w:anchor="page30">
              <w:r>
                <w:rPr>
                  <w:rFonts w:ascii="Arial" w:cs="Arial" w:eastAsia="Arial" w:hAnsi="Arial"/>
                  <w:sz w:val="18"/>
                  <w:szCs w:val="18"/>
                  <w:color w:val="0000FF"/>
                  <w:w w:val="98"/>
                </w:rPr>
                <w:t>Item 13.</w:t>
              </w:r>
            </w:hyperlink>
          </w:p>
        </w:tc>
        <w:tc>
          <w:tcPr>
            <w:tcW w:w="380" w:type="dxa"/>
            <w:vAlign w:val="bottom"/>
            <w:gridSpan w:val="4"/>
          </w:tcPr>
          <w:p>
            <w:pPr>
              <w:spacing w:after="0"/>
              <w:rPr>
                <w:sz w:val="14"/>
                <w:szCs w:val="14"/>
                <w:color w:val="auto"/>
              </w:rPr>
            </w:pPr>
          </w:p>
        </w:tc>
        <w:tc>
          <w:tcPr>
            <w:tcW w:w="730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Certain Relationships and Related Transactions and Director Independence</w:t>
              </w:r>
            </w:hyperlink>
          </w:p>
        </w:tc>
        <w:tc>
          <w:tcPr>
            <w:tcW w:w="1820" w:type="dxa"/>
            <w:vAlign w:val="bottom"/>
            <w:gridSpan w:val="2"/>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8"/>
              </w:rPr>
            </w:pPr>
            <w:hyperlink w:anchor="page30">
              <w:r>
                <w:rPr>
                  <w:rFonts w:ascii="Arial" w:cs="Arial" w:eastAsia="Arial" w:hAnsi="Arial"/>
                  <w:sz w:val="18"/>
                  <w:szCs w:val="18"/>
                  <w:color w:val="0000FF"/>
                  <w:w w:val="98"/>
                </w:rPr>
                <w:t>Item 14.</w:t>
              </w:r>
            </w:hyperlink>
          </w:p>
        </w:tc>
        <w:tc>
          <w:tcPr>
            <w:tcW w:w="380" w:type="dxa"/>
            <w:vAlign w:val="bottom"/>
            <w:gridSpan w:val="4"/>
          </w:tcPr>
          <w:p>
            <w:pPr>
              <w:spacing w:after="0"/>
              <w:rPr>
                <w:sz w:val="14"/>
                <w:szCs w:val="14"/>
                <w:color w:val="auto"/>
              </w:rPr>
            </w:pPr>
          </w:p>
        </w:tc>
        <w:tc>
          <w:tcPr>
            <w:tcW w:w="286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Principal Accountant Fees and Services</w:t>
              </w:r>
            </w:hyperlink>
          </w:p>
        </w:tc>
        <w:tc>
          <w:tcPr>
            <w:tcW w:w="2540" w:type="dxa"/>
            <w:vAlign w:val="bottom"/>
            <w:tcBorders>
              <w:top w:val="single" w:sz="8" w:color="0000FF"/>
            </w:tcBorders>
            <w:gridSpan w:val="6"/>
          </w:tcPr>
          <w:p>
            <w:pPr>
              <w:spacing w:after="0"/>
              <w:rPr>
                <w:sz w:val="14"/>
                <w:szCs w:val="14"/>
                <w:color w:val="auto"/>
              </w:rPr>
            </w:pPr>
          </w:p>
        </w:tc>
        <w:tc>
          <w:tcPr>
            <w:tcW w:w="3720" w:type="dxa"/>
            <w:vAlign w:val="bottom"/>
            <w:gridSpan w:val="5"/>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40" w:type="dxa"/>
            <w:vAlign w:val="bottom"/>
            <w:gridSpan w:val="9"/>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15.</w:t>
              </w:r>
            </w:hyperlink>
          </w:p>
        </w:tc>
        <w:tc>
          <w:tcPr>
            <w:tcW w:w="9120" w:type="dxa"/>
            <w:vAlign w:val="bottom"/>
            <w:gridSpan w:val="2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Exhibits and Financial Statement Schedules</w:t>
              </w:r>
            </w:hyperlink>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0000FF"/>
            </w:tcBorders>
            <w:gridSpan w:val="5"/>
          </w:tcPr>
          <w:p>
            <w:pPr>
              <w:spacing w:after="0" w:line="169" w:lineRule="exact"/>
              <w:rPr>
                <w:rFonts w:ascii="Arial" w:cs="Arial" w:eastAsia="Arial" w:hAnsi="Arial"/>
                <w:sz w:val="18"/>
                <w:szCs w:val="18"/>
                <w:color w:val="0000FF"/>
                <w:w w:val="98"/>
              </w:rPr>
            </w:pPr>
            <w:hyperlink w:anchor="page34">
              <w:r>
                <w:rPr>
                  <w:rFonts w:ascii="Arial" w:cs="Arial" w:eastAsia="Arial" w:hAnsi="Arial"/>
                  <w:sz w:val="18"/>
                  <w:szCs w:val="18"/>
                  <w:color w:val="0000FF"/>
                  <w:w w:val="98"/>
                </w:rPr>
                <w:t>Item 16.</w:t>
              </w:r>
            </w:hyperlink>
          </w:p>
        </w:tc>
        <w:tc>
          <w:tcPr>
            <w:tcW w:w="380" w:type="dxa"/>
            <w:vAlign w:val="bottom"/>
            <w:gridSpan w:val="4"/>
          </w:tcPr>
          <w:p>
            <w:pPr>
              <w:spacing w:after="0"/>
              <w:rPr>
                <w:sz w:val="14"/>
                <w:szCs w:val="14"/>
                <w:color w:val="auto"/>
              </w:rPr>
            </w:pPr>
          </w:p>
        </w:tc>
        <w:tc>
          <w:tcPr>
            <w:tcW w:w="316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34">
              <w:r>
                <w:rPr>
                  <w:rFonts w:ascii="Arial" w:cs="Arial" w:eastAsia="Arial" w:hAnsi="Arial"/>
                  <w:sz w:val="18"/>
                  <w:szCs w:val="18"/>
                  <w:color w:val="0000FF"/>
                </w:rPr>
                <w:t>Form 10-K Summary</w:t>
              </w:r>
            </w:hyperlink>
          </w:p>
        </w:tc>
        <w:tc>
          <w:tcPr>
            <w:tcW w:w="5960" w:type="dxa"/>
            <w:vAlign w:val="bottom"/>
            <w:gridSpan w:val="10"/>
          </w:tcPr>
          <w:p>
            <w:pPr>
              <w:spacing w:after="0"/>
              <w:rPr>
                <w:sz w:val="14"/>
                <w:szCs w:val="14"/>
                <w:color w:val="auto"/>
              </w:rPr>
            </w:pPr>
          </w:p>
        </w:tc>
        <w:tc>
          <w:tcPr>
            <w:tcW w:w="106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716"/>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Chemed Corporation (the “Company” or “Chemed”) was incorporated in Delaware in 1970 as a subsidiary of W.R. Grace &amp; Co. and succeeded to the business of W.R. Grace &amp; Co.’s Special Products Group as of April 30, 1971 and remained a subsidiary of W.R. Grace &amp; Co. until March 10, 1982.</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Chemed purchases, operates and divests subsidiaries engaged in diverse business activities for the purposes of maximizing shareholder value. The Company’s day to day operating businesses are managed on a decentralized basis. There are few integrated business functions between the operating units and Chemed (such as sales, marketing or purchasing). Chemed’s corporate office management participates in and is ultimately responsible for long term strategic planning, significant capital allocation decisions, investment activities, financial reporting, tax, legal and the selection of the key executives of each of the operating businesses. Since its inception, the Company has engaged in twelve significant acquisitions or divestitures of diverse business units.</w:t>
      </w:r>
    </w:p>
    <w:p>
      <w:pPr>
        <w:spacing w:after="0" w:line="13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During 2021, Chemed conducted its business operations in two segments: the VITAS segment (“VITAS”) and the Roto-Rooter segment (“Roto-Rooter”). VITAS provides hospice and palliative care services to its patients through a network of physicians, registered nurses, home health aides, social workers, clergy and volunteers. Roto-Rooter provides plumbing, drain cleaning, excavation, water restoration and other related services to residential and commercial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This Annual Report contains or incorporates by reference certain forward-looking statements within the meaning of the Private Securities Litigation Reform Act of 1995. The Company intends such statements to be subject to the safe harbors created by that legislation. Such statements involve risks and uncertainties that could cause actual results of operations to differ materially from these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required segment and geographic data for the Company’s continuing operations (as described below) for three years ended December 31, 2019, 2020 and 2021 are shown in Note 5 of the Notes to Consolidated Financial Statements on pages 60-61 of the 2021 Annual Report to Stockholders and are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by Segment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information called for by this item is included within Note 5 of the Notes to Consolidated Financial Statements appearing on pages 60-61 of the 2021 Annual Report to Stockholders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Market Development</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Each segment of the Company’s business analyzes opportunities for the development and marketing of new services and products. While new products and services and new market development are important factors for the long term growth of each active segment of the Company’s business, the Company does not expect that any new products and services or marketing effort, including those in the development stage, will require the investment of a material amount of the Company’s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Service Marks and Licenses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Roto-Rooter trademarks and service marks have been used and advertised since 1935 by Roto-Rooter Corporation, a wholly owned indirect subsidiary of the Company. The Roto-Rooter marks are among the most highly recognized trademarks and service marks in the United States. The Company considers the Roto-Rooter marks to be a valuable asset and a significant factor in the marketing of Roto-Rooter’s franchises, products and services and the products and services provided by its franchises.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“VITAS” and “Innovative Hospice Care” are trademarks and servicemarks of VITAS Healthcare Corporation. The Company and its subsidiaries also own certain trade secrets including training manuals, cost information, patient information and software source code. Certain states require certificates of need to conduct hospice operations. In those states, we consider certificates of need valuable assets.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Roto-Rooter’s revenue and operating results are impacted by significant weather patterns across the United States. Significant changes in precipitation or temperatures in areas we have company-owned and independent contractor operations will generally affect the revenue and operating results at Roto-Rooter.</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 significant portion of our VITAS business is operated in the state of Florida. The vast majority of our patients are Medicare recipients. Medicare patients relocating to Florida during the winter months generally result in higher admissions and revenue for our Florida programs during that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Roto-Rooter’s business has a large and diverse customer base. Over 90% of VITAS’ revenue is from the United States government through the Medicare program. The loss of a portion or all of our Medicare revenue would have a material adverse effect on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Roto-Rooter</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All aspects of the sewer, drain and pipe cleaning, plumbing repair, excavation and water restoration businesses are highly competitive. Competition is fragmented in most markets with local and regional firms providing the primary competition. The principal methods of competition are advertising, range of services provided, name recognition, emergency-service availability, speed and quality of customer service, service guarantees, and pricing.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VITAS</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Hospice care in the United States is competitive. Plans of care for hospice services are not proprietary. As a result, VITAS competes and differentiates itself primarily on the basis of its ability to deliver quality, responsive services within the requirements of Medicare’s hospice conditions of participation. VITAS is one of the nation’s largest providers of hospice services in an industry dominated primarily by small, community-based hospices. Approximately 26% of all hospice providers are not-for-profit. Because the hospice care industry is highly fragmented, VITAS competes with a large number of organizations.</w:t>
      </w:r>
    </w:p>
    <w:p>
      <w:pPr>
        <w:spacing w:after="0" w:line="1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VITAS also competes with a number of national and regional hospice providers, hospitals, nursing homes, home health agencies and other health care providers. Many providers offer home care to patients who are terminally ill, and some actively market palliative care and hospice-like programs. In addition, various health care companies have diversified into the hospice market. Some of these health care companies have greater financial resources than VITAS. Relatively few barriers to entry exist in the majority of markets served by VITAS. Accordingly, other companies that are not currently providing hospice care may enter these markets and expand the variety of services they offer to include hospice.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continuously works to develop new services, products and processes, improve existing services, products and processes, and develop new and different uses of existing products. The research and development expenditures from continuing operations have not been nor are they expected to be material.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Roto-Rooter</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Roto-Rooter’s franchising activities are subject to various federal and state franchising laws and regulations, including the rules and regulations of the Federal Trade Commission (the “FTC”) regarding the offering or sale of franchises. The rules and regulations of the FTC require that Roto-Rooter provide all the prospective franchises with specific information regarding the franchise program and Roto-Rooter in the form of a detailed franchise offering circular. In addition, a number of states require Roto-Rooter to register its franchise offering prior to offering or selling franchises in the state. Various state laws also provide for certain rights in favor of franchisees, including (i) limitations on the franchisor’s ability to terminate a franchise except for good cause, (ii) restrictions on the franchisor’s ability to deny renewal of a franchise, (iii) circumstances under which the franchisor may be required to purchase certain inventory of franchisees when a franchise is terminated or not renewed in violation of such laws, and (iv) provisions relating to arbitration. Roto-Rooter’s ability to engage in the plumbing repair business is also subject to certain limitations and restrictions imposed by state and local licensing laws and regulations.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VITAS</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health care industry and VITAS’ hospice programs are subject to extensive federal and state regulation. VITAS’ hospices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as required under state law as either hospices or home health agencies, or both, depending on the regulatory requirements of each particular state. In addition, VITAS’ hospices are required to meet certain conditions of participation to be eligible to receive payments as hospices under Medicare and Medicaid programs. All of VITAS’ hospices, other than those currently in development, are certified for participation as hospices in the Medicare program, and are also eligible to receive payments as hospices from the Medicaid program in each of the states in which VITAS operates. VITAS’ hospices are subject to periodic survey by governmental authorities or private accrediting entities to assure compliance with state licensing, certification and accreditation requirements.</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 xml:space="preserve">Medicare Conditions of Participation. </w:t>
      </w:r>
      <w:r>
        <w:rPr>
          <w:rFonts w:ascii="Arial" w:cs="Arial" w:eastAsia="Arial" w:hAnsi="Arial"/>
          <w:sz w:val="18"/>
          <w:szCs w:val="18"/>
          <w:color w:val="auto"/>
        </w:rPr>
        <w:t>Federal regulations require that a hospice program satisfy certain Conditions of Participation (“COP”) to</w:t>
      </w:r>
      <w:r>
        <w:rPr>
          <w:rFonts w:ascii="Arial" w:cs="Arial" w:eastAsia="Arial" w:hAnsi="Arial"/>
          <w:sz w:val="18"/>
          <w:szCs w:val="18"/>
          <w:i w:val="1"/>
          <w:iCs w:val="1"/>
          <w:color w:val="auto"/>
        </w:rPr>
        <w:t xml:space="preserve"> </w:t>
      </w:r>
      <w:r>
        <w:rPr>
          <w:rFonts w:ascii="Arial" w:cs="Arial" w:eastAsia="Arial" w:hAnsi="Arial"/>
          <w:sz w:val="18"/>
          <w:szCs w:val="18"/>
          <w:color w:val="auto"/>
        </w:rPr>
        <w:t>be certified and receive Medicare payment for the services it provides. Failure to comply with the conditions of participation may result in sanctions, up to and including decertification from the Medicare program. See “</w:t>
      </w:r>
      <w:r>
        <w:rPr>
          <w:rFonts w:ascii="Arial" w:cs="Arial" w:eastAsia="Arial" w:hAnsi="Arial"/>
          <w:sz w:val="18"/>
          <w:szCs w:val="18"/>
          <w:i w:val="1"/>
          <w:iCs w:val="1"/>
          <w:color w:val="auto"/>
        </w:rPr>
        <w:t>Surveys and Audits</w:t>
      </w:r>
      <w:r>
        <w:rPr>
          <w:rFonts w:ascii="Arial" w:cs="Arial" w:eastAsia="Arial" w:hAnsi="Arial"/>
          <w:sz w:val="18"/>
          <w:szCs w:val="18"/>
          <w:color w:val="auto"/>
        </w:rPr>
        <w:t>”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Medicare COP for hospice programs include the following:</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Governing Body</w:t>
      </w:r>
      <w:r>
        <w:rPr>
          <w:rFonts w:ascii="Arial" w:cs="Arial" w:eastAsia="Arial" w:hAnsi="Arial"/>
          <w:sz w:val="18"/>
          <w:szCs w:val="18"/>
          <w:color w:val="auto"/>
        </w:rPr>
        <w:t>. Each hospice must have a governing body that assumes full responsibility for the policies and the overall operation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hospice and for ensuring that all services are provided in a manner consistent with accepted standards of practice. The governing body must designate one individual who is responsible for the day-to-day management of the hospice.</w:t>
      </w:r>
    </w:p>
    <w:p>
      <w:pPr>
        <w:spacing w:after="0" w:line="14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i w:val="1"/>
          <w:iCs w:val="1"/>
          <w:color w:val="auto"/>
        </w:rPr>
        <w:t>Medical Director</w:t>
      </w:r>
      <w:r>
        <w:rPr>
          <w:rFonts w:ascii="Arial" w:cs="Arial" w:eastAsia="Arial" w:hAnsi="Arial"/>
          <w:sz w:val="18"/>
          <w:szCs w:val="18"/>
          <w:color w:val="auto"/>
        </w:rPr>
        <w:t>. Each hospice must have a medical director who is a physician and who assumes responsibility for overseeing the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the hospice’s patient care program.</w:t>
      </w:r>
    </w:p>
    <w:p>
      <w:pPr>
        <w:spacing w:after="0" w:line="1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i w:val="1"/>
          <w:iCs w:val="1"/>
          <w:color w:val="auto"/>
        </w:rPr>
        <w:t>Direct Provision of Core Services</w:t>
      </w:r>
      <w:r>
        <w:rPr>
          <w:rFonts w:ascii="Arial" w:cs="Arial" w:eastAsia="Arial" w:hAnsi="Arial"/>
          <w:sz w:val="18"/>
          <w:szCs w:val="18"/>
          <w:color w:val="auto"/>
        </w:rPr>
        <w:t>. Medicare limits those services for which the hospice may use individual independent contractors or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to provide care to patients. Specifically, substantially all nursing, social work, and counseling services must be provided directly by hospice employees meeting specific educational and professional standards. During periods of peak patient loads or under extraordinary circumstances, the hospice may be permitted to use contract workers, but the hospice must agree in writing to maintain professional, financial and administrative responsibility for the services provided by those individuals or entities.</w:t>
      </w:r>
    </w:p>
    <w:p>
      <w:pPr>
        <w:spacing w:after="0" w:line="15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i w:val="1"/>
          <w:iCs w:val="1"/>
          <w:color w:val="auto"/>
        </w:rPr>
        <w:t xml:space="preserve">Professional Management of Non-Core Services. </w:t>
      </w:r>
      <w:r>
        <w:rPr>
          <w:rFonts w:ascii="Arial" w:cs="Arial" w:eastAsia="Arial" w:hAnsi="Arial"/>
          <w:sz w:val="17"/>
          <w:szCs w:val="17"/>
          <w:color w:val="auto"/>
        </w:rPr>
        <w:t>A hospice may arrange to have non-core services such as therapy services, home health aide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medical supplies or drugs provided by a non-employee or outside entity. If the hospice elects to use an independent contractor to provide non-core services, however, the hospice must retain professional management responsibility for the arranged services and ensure that the services are furnished in a safe and effective manner by qualified personnel, and in accordance with the patient’s plan of care.</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Plan of Care</w:t>
      </w:r>
      <w:r>
        <w:rPr>
          <w:rFonts w:ascii="Arial" w:cs="Arial" w:eastAsia="Arial" w:hAnsi="Arial"/>
          <w:sz w:val="18"/>
          <w:szCs w:val="18"/>
          <w:color w:val="auto"/>
        </w:rPr>
        <w:t>. The patient’s attending physician, the medical director or the designated hospice physician, and interdisciplinary team must</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an individualized written plan of care prior to providing care to any hospice patient. The plan must assess the patient’s needs and identify services to be provided to meet those needs and must be reviewed and updated at specified intervals.</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i w:val="1"/>
          <w:iCs w:val="1"/>
          <w:color w:val="auto"/>
        </w:rPr>
        <w:t>Continuation of Care</w:t>
      </w:r>
      <w:r>
        <w:rPr>
          <w:rFonts w:ascii="Arial" w:cs="Arial" w:eastAsia="Arial" w:hAnsi="Arial"/>
          <w:sz w:val="18"/>
          <w:szCs w:val="18"/>
          <w:color w:val="auto"/>
        </w:rPr>
        <w:t>. A hospice may not discontinue or reduce care provided to a Medicare beneficiary if the individual becomes unable to pay</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care.</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Informed Consent</w:t>
      </w:r>
      <w:r>
        <w:rPr>
          <w:rFonts w:ascii="Arial" w:cs="Arial" w:eastAsia="Arial" w:hAnsi="Arial"/>
          <w:sz w:val="18"/>
          <w:szCs w:val="18"/>
          <w:color w:val="auto"/>
        </w:rPr>
        <w:t>. The hospice must obtain the informed consent of the hospice patient, or the patient’s legal representative, that specifies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care services that may be provided as hospice care, which is palliative and not curative care. The patient or the patient’s legal representative must also acknowledge that by choosing hospice care, certain other Medicare benefits are waived.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w:t>
      </w:r>
      <w:r>
        <w:rPr>
          <w:rFonts w:ascii="Arial" w:cs="Arial" w:eastAsia="Arial" w:hAnsi="Arial"/>
          <w:sz w:val="18"/>
          <w:szCs w:val="18"/>
          <w:color w:val="auto"/>
        </w:rPr>
        <w:t>. A hospice must provide ongoing training for its employees.</w:t>
      </w:r>
    </w:p>
    <w:p>
      <w:pPr>
        <w:spacing w:after="0" w:line="17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i w:val="1"/>
          <w:iCs w:val="1"/>
          <w:color w:val="auto"/>
        </w:rPr>
        <w:t xml:space="preserve">Quality Assurance. </w:t>
      </w:r>
      <w:r>
        <w:rPr>
          <w:rFonts w:ascii="Arial" w:cs="Arial" w:eastAsia="Arial" w:hAnsi="Arial"/>
          <w:sz w:val="18"/>
          <w:szCs w:val="18"/>
          <w:color w:val="auto"/>
        </w:rPr>
        <w:t>A hospice must conduct ongoing and comprehensive self-assessments of the quality and appropriateness of care it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that its contractors provide under arrangements to hospice patients.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i w:val="1"/>
          <w:iCs w:val="1"/>
          <w:color w:val="auto"/>
        </w:rPr>
        <w:t>Interdisciplinary Team</w:t>
      </w:r>
      <w:r>
        <w:rPr>
          <w:rFonts w:ascii="Arial" w:cs="Arial" w:eastAsia="Arial" w:hAnsi="Arial"/>
          <w:sz w:val="16"/>
          <w:szCs w:val="16"/>
          <w:color w:val="auto"/>
        </w:rPr>
        <w:t>. A hospice must designate an interdisciplinary team to provide or supervise hospice care services. The interdisciplinary</w:t>
      </w:r>
      <w:r>
        <w:rPr>
          <w:rFonts w:ascii="Arial" w:cs="Arial" w:eastAsia="Arial" w:hAnsi="Arial"/>
          <w:sz w:val="16"/>
          <w:szCs w:val="16"/>
          <w:i w:val="1"/>
          <w:iCs w:val="1"/>
          <w:color w:val="auto"/>
        </w:rPr>
        <w:t xml:space="preserve"> </w:t>
      </w:r>
      <w:r>
        <w:rPr>
          <w:rFonts w:ascii="Arial" w:cs="Arial" w:eastAsia="Arial" w:hAnsi="Arial"/>
          <w:sz w:val="16"/>
          <w:szCs w:val="16"/>
          <w:color w:val="auto"/>
        </w:rPr>
        <w:t>team develops and updates plans of care, and establishes policies governing the day-to-day provision of hospice services. The team must include at least a physician, registered nurse, social worker and spiritual or other counselor. A registered nurse must be designated to coordinate the plan of care.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jc w:val="both"/>
        <w:ind w:firstLine="648"/>
        <w:spacing w:after="0" w:line="235" w:lineRule="auto"/>
        <w:rPr>
          <w:sz w:val="20"/>
          <w:szCs w:val="20"/>
          <w:color w:val="auto"/>
        </w:rPr>
      </w:pPr>
      <w:r>
        <w:rPr>
          <w:rFonts w:ascii="Arial" w:cs="Arial" w:eastAsia="Arial" w:hAnsi="Arial"/>
          <w:sz w:val="18"/>
          <w:szCs w:val="18"/>
          <w:i w:val="1"/>
          <w:iCs w:val="1"/>
          <w:color w:val="auto"/>
        </w:rPr>
        <w:t xml:space="preserve">Volunteers. </w:t>
      </w:r>
      <w:r>
        <w:rPr>
          <w:rFonts w:ascii="Arial" w:cs="Arial" w:eastAsia="Arial" w:hAnsi="Arial"/>
          <w:sz w:val="18"/>
          <w:szCs w:val="18"/>
          <w:color w:val="auto"/>
        </w:rPr>
        <w:t>Hospice programs are required to recruit and train volunteers to provide patient care services or administrative services. Volunteer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must be provided in an amount equal to at least five percent of the total patient care hours provided by all paid hospice employees and contract staff.</w:t>
      </w:r>
    </w:p>
    <w:p>
      <w:pPr>
        <w:spacing w:after="0" w:line="1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i w:val="1"/>
          <w:iCs w:val="1"/>
          <w:color w:val="auto"/>
        </w:rPr>
        <w:t>Licensure</w:t>
      </w:r>
      <w:r>
        <w:rPr>
          <w:rFonts w:ascii="Arial" w:cs="Arial" w:eastAsia="Arial" w:hAnsi="Arial"/>
          <w:sz w:val="18"/>
          <w:szCs w:val="18"/>
          <w:color w:val="auto"/>
        </w:rPr>
        <w:t>. Each hospice and all hospice personnel must be licensed, certified or registered in accordance with applicable federal,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laws and regulations.</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i w:val="1"/>
          <w:iCs w:val="1"/>
          <w:color w:val="auto"/>
        </w:rPr>
        <w:t>Central Clinical Records</w:t>
      </w:r>
      <w:r>
        <w:rPr>
          <w:rFonts w:ascii="Arial" w:cs="Arial" w:eastAsia="Arial" w:hAnsi="Arial"/>
          <w:sz w:val="17"/>
          <w:szCs w:val="17"/>
          <w:color w:val="auto"/>
        </w:rPr>
        <w:t>. Hospice programs must maintain clinical records for each hospice patient that are organized in such a way that they</w:t>
      </w:r>
      <w:r>
        <w:rPr>
          <w:rFonts w:ascii="Arial" w:cs="Arial" w:eastAsia="Arial" w:hAnsi="Arial"/>
          <w:sz w:val="17"/>
          <w:szCs w:val="17"/>
          <w:i w:val="1"/>
          <w:iCs w:val="1"/>
          <w:color w:val="auto"/>
        </w:rPr>
        <w:t xml:space="preserve"> </w:t>
      </w:r>
      <w:r>
        <w:rPr>
          <w:rFonts w:ascii="Arial" w:cs="Arial" w:eastAsia="Arial" w:hAnsi="Arial"/>
          <w:sz w:val="17"/>
          <w:szCs w:val="17"/>
          <w:color w:val="auto"/>
        </w:rPr>
        <w:t>may be easily retrieved. The clinical records must be complete and accurate and protected against loss, destruction and unauthorized use.</w:t>
      </w:r>
    </w:p>
    <w:p>
      <w:pPr>
        <w:spacing w:after="0" w:line="1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i w:val="1"/>
          <w:iCs w:val="1"/>
          <w:color w:val="auto"/>
        </w:rPr>
        <w:t>Surveys and Audits</w:t>
      </w:r>
      <w:r>
        <w:rPr>
          <w:rFonts w:ascii="Arial" w:cs="Arial" w:eastAsia="Arial" w:hAnsi="Arial"/>
          <w:sz w:val="17"/>
          <w:szCs w:val="17"/>
          <w:color w:val="auto"/>
        </w:rPr>
        <w:t>. Hospice programs are subject to periodic survey by federal and state regulatory authorities and private accrediting entities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ensure compliance with applicable licensing and certification requirements and accreditation standards. In 2021, CMS added a vaccination requirement (with certain exceptions) to these standards for staff working at all CMS certified facilities, which will be subject to any audit. Regulators conduct periodic surveys of hospice programs and provide reports containing statements of deficiencies for alleged failure to comply with various regulatory requirements. Survey reports and statements of deficiencies are common in the healthcare industry. In most cases, the hospice program and regulatory authorities will agree upon any steps to be taken to bring the hospice into compliance with applicable regulatory requirements. In some cases, however, a state or federal regulatory authority may take a number of adverse actions against a hospice program, including the imposition of fines, civil monetary penalties, payment suspensions, insertion of temporary management, temporary suspension of admission of new patients to the hospice’s service, implementing directed plans of correction or, in extreme circumstances, decertification from participation in the Medicare or Medicaid programs or revocation of the hospice’s license.</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CMS has recently started implementing a Targeted Probe and Educate (“TPE”) program, designed to improve compliance in submitting Medicare claims and reduce deficiencies. In the TPE program, a healthcare provider has up to three rounds of review to sufficiently improve results, or the provider may face significant action from CMS. During the rounds of a TPE review, payment of claims subject to the review is delayed.</w:t>
      </w:r>
    </w:p>
    <w:p>
      <w:pPr>
        <w:spacing w:after="0" w:line="1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From time to time VITAS receives survey reports containing statements of deficiencies and sustains related adverse actions. VITAS reviews such reports and takes appropriate corrective action, including where appropriate, appealing the reports and any adverse actions discussed in the reports. VITAS believes that its hospices are in material compliance with applicable licensure and certification requirements. If a VITAS hospice were found to be out of compliance and actions were taken against a VITAS hospice, they could materially adversely affect the hospice’s ability to continue to operate, to provide certain services and to participate in the Medicare and Medicaid programs, which could materially adversely affect VITAS.</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i w:val="1"/>
          <w:iCs w:val="1"/>
          <w:color w:val="auto"/>
        </w:rPr>
        <w:t>Billing Audits/Claims Reviews</w:t>
      </w:r>
      <w:r>
        <w:rPr>
          <w:rFonts w:ascii="Arial" w:cs="Arial" w:eastAsia="Arial" w:hAnsi="Arial"/>
          <w:sz w:val="17"/>
          <w:szCs w:val="17"/>
          <w:color w:val="auto"/>
        </w:rPr>
        <w:t>. The Medicare program and its Medicare Administrative Contractors and other payors periodically conduct pre-payment or post-payment reviews and other reviews and audits of health care claims, including hospice claims. There is pressure from state and federal governments and other payors to scrutinize health care claims to determine their validity and appropriateness. In order to conduct these reviews, the payor requests documentation from VITAS and then reviews that documentation to determine compliance with applicable rules and regulations, including the eligibility of patients to receive hospice benefits, the appropriateness of the care provided to those patients and the documentation of that care. VITAS’ claims are periodically subject to review and audit. We make appropriate provisions in our accounting records to reduce our revenue for anticipated denial or delay of payment related to these audits and reviews. We believe our hospice programs comply with all payor requirements at the time of billing. However, we cannot predict whether future billing reviews or similar audits by payors will result in material delays, suspensions, denials or reductions in revenue.</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i w:val="1"/>
          <w:iCs w:val="1"/>
          <w:color w:val="auto"/>
        </w:rPr>
        <w:t>Corporate Integrity Agreement</w:t>
      </w:r>
      <w:r>
        <w:rPr>
          <w:rFonts w:ascii="Arial" w:cs="Arial" w:eastAsia="Arial" w:hAnsi="Arial"/>
          <w:sz w:val="18"/>
          <w:szCs w:val="18"/>
          <w:color w:val="auto"/>
        </w:rPr>
        <w:t>. VITAS and certain of its subsidiaries entered into a Corporate Integrity Agreement (“CIA”) with the Office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Inspector General (“OIG”) on October 30, 2017 in connection with the settlement of a False Claims Act case. The CIA formalizes various aspects of VITAS’ already existing Compliance Program and contains requirements designed to document ongoing compliance with federal healthcare program requirements. It has a term of five years during which it imposes monitoring, reporting, certification, oversight, screening and training obligations, certain of which had previously been implemented by VITAS. VITAS is currently in year five of its obligations under the CIA. It also requires VITAS to engage an Independent Review Organization to perform auditing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4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i w:val="1"/>
          <w:iCs w:val="1"/>
          <w:color w:val="auto"/>
        </w:rPr>
        <w:t>Certificate of Need Laws and Other Restrictions</w:t>
      </w:r>
      <w:r>
        <w:rPr>
          <w:rFonts w:ascii="Arial" w:cs="Arial" w:eastAsia="Arial" w:hAnsi="Arial"/>
          <w:sz w:val="18"/>
          <w:szCs w:val="18"/>
          <w:color w:val="auto"/>
        </w:rPr>
        <w:t>. Some states, including Florida and California, have certificate of need or similar health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laws that apply to hospice care providers. These states may require some form of state agency review or approval prior to opening a new hospice program, to adding or expanding hospice services, to undertaking significant capital expenditures or under other specified circumstances. Approval under these certificate of need laws is generally conditioned on the showing of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jc w:val="both"/>
        <w:spacing w:after="0" w:line="242" w:lineRule="auto"/>
        <w:rPr>
          <w:sz w:val="20"/>
          <w:szCs w:val="20"/>
          <w:color w:val="auto"/>
        </w:rPr>
      </w:pPr>
      <w:r>
        <w:rPr>
          <w:rFonts w:ascii="Arial" w:cs="Arial" w:eastAsia="Arial" w:hAnsi="Arial"/>
          <w:sz w:val="17"/>
          <w:szCs w:val="17"/>
          <w:color w:val="auto"/>
        </w:rPr>
        <w:t>demonstrable need for services in the community. VITAS may seek to develop, acquire or expand hospice programs in states having certificate of need laws. To the extent that state agencies require VITAS to obtain a certificate of need or other similar approvals to expand services at existing hospice programs or to make acquisitions or develop hospice programs in new or existing geographic markets, VITAS’ plans could be adversely affected by a failure to obtain such certificate or approval. In addition, competitors may seek administratively or judicially to challenge such an approval or proposed approval by the state agency. Such a challenge, whether or not ultimately successful, could adversely affect VITAS.</w:t>
      </w:r>
    </w:p>
    <w:p>
      <w:pPr>
        <w:spacing w:after="0" w:line="149" w:lineRule="exact"/>
        <w:rPr>
          <w:sz w:val="20"/>
          <w:szCs w:val="20"/>
          <w:color w:val="auto"/>
        </w:rPr>
      </w:pPr>
    </w:p>
    <w:p>
      <w:pPr>
        <w:jc w:val="both"/>
        <w:ind w:firstLine="706"/>
        <w:spacing w:after="0" w:line="235" w:lineRule="auto"/>
        <w:rPr>
          <w:sz w:val="20"/>
          <w:szCs w:val="20"/>
          <w:color w:val="auto"/>
        </w:rPr>
      </w:pPr>
      <w:r>
        <w:rPr>
          <w:rFonts w:ascii="Arial" w:cs="Arial" w:eastAsia="Arial" w:hAnsi="Arial"/>
          <w:sz w:val="18"/>
          <w:szCs w:val="18"/>
          <w:i w:val="1"/>
          <w:iCs w:val="1"/>
          <w:color w:val="auto"/>
        </w:rPr>
        <w:t xml:space="preserve">Limitations on For-Profit Ownership. </w:t>
      </w:r>
      <w:r>
        <w:rPr>
          <w:rFonts w:ascii="Arial" w:cs="Arial" w:eastAsia="Arial" w:hAnsi="Arial"/>
          <w:sz w:val="18"/>
          <w:szCs w:val="18"/>
          <w:color w:val="auto"/>
        </w:rPr>
        <w:t>A few states have laws that restrict the development and expansion of for-profit hospice programs.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in New York, a hospice generally cannot be owned by a corporation that has another corporation as a stockholder. These types of restrictions could affect VITAS’ ability to expand into New York, or in other jurisdictions with similar restrictions.</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17"/>
          <w:szCs w:val="17"/>
          <w:i w:val="1"/>
          <w:iCs w:val="1"/>
          <w:color w:val="auto"/>
        </w:rPr>
        <w:t xml:space="preserve">Limits on the Acquisition or Conversion of Non-Profit Health Care Organizations. </w:t>
      </w:r>
      <w:r>
        <w:rPr>
          <w:rFonts w:ascii="Arial" w:cs="Arial" w:eastAsia="Arial" w:hAnsi="Arial"/>
          <w:sz w:val="17"/>
          <w:szCs w:val="17"/>
          <w:color w:val="auto"/>
        </w:rPr>
        <w:t>A number of states have enacted laws that restrict the 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for-profit entities to acquire or otherwise assume the operations of a non-profit health care provider. Some states may require government review, public hearings, and/or government approval of transactions in which a for-profit entity proposes to purchase certain non-profit healthcare organizations. Heightened scrutiny of these transactions may significantly increase the costs associated with future acquisitions of non-profit hospice programs in some states, otherwise increase the difficulty in completing those acquisitions or prevent them entirely. VITAS cannot assure that it will not encounter regulatory or governmental obstacles in connection with any proposed acquisition of non-profit hospice programs in the future.</w:t>
      </w:r>
    </w:p>
    <w:p>
      <w:pPr>
        <w:spacing w:after="0" w:line="15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i w:val="1"/>
          <w:iCs w:val="1"/>
          <w:color w:val="auto"/>
        </w:rPr>
        <w:t>Professional Licensure and Participation Agreements</w:t>
      </w:r>
      <w:r>
        <w:rPr>
          <w:rFonts w:ascii="Arial" w:cs="Arial" w:eastAsia="Arial" w:hAnsi="Arial"/>
          <w:sz w:val="18"/>
          <w:szCs w:val="18"/>
          <w:color w:val="auto"/>
        </w:rPr>
        <w:t>. Many hospice employees are subject to federal and state laws and regulations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ethics and practice of their profession, including physicians, physical, speech and occupational therapists, social workers, home health aides, pharmacists and nurses. In addition, those professionals who are eligible to participate in the Medicare, Medicaid or other federal health care programs as individuals must not have been excluded from participation in those programs at any time.</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i w:val="1"/>
          <w:iCs w:val="1"/>
          <w:color w:val="auto"/>
        </w:rPr>
        <w:t>State Licensure of Hospice</w:t>
      </w:r>
      <w:r>
        <w:rPr>
          <w:rFonts w:ascii="Arial" w:cs="Arial" w:eastAsia="Arial" w:hAnsi="Arial"/>
          <w:sz w:val="18"/>
          <w:szCs w:val="18"/>
          <w:color w:val="auto"/>
        </w:rPr>
        <w:t>. Each of VITAS’ hospices must be licensed in the state in which it operates. State licensure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that VITAS’ hospices maintain certain standards and meet certain requirements, which may vary from state to state. VITAS believes that its hospices are in material compliance with applicable licensure requirements. If a VITAS hospice were found to be out of compliance and actions were taken against a VITAS hospice, they could materially adversely affect the hospice’s ability to continue to operate, to provide certain services and to participate in the Medicare and Medicaid programs, which could materially adversely affect VITAS.</w:t>
      </w:r>
    </w:p>
    <w:p>
      <w:pPr>
        <w:spacing w:after="0" w:line="15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i w:val="1"/>
          <w:iCs w:val="1"/>
          <w:color w:val="auto"/>
        </w:rPr>
        <w:t>Overview of Government Payments—General</w:t>
      </w:r>
      <w:r>
        <w:rPr>
          <w:rFonts w:ascii="Arial" w:cs="Arial" w:eastAsia="Arial" w:hAnsi="Arial"/>
          <w:sz w:val="17"/>
          <w:szCs w:val="17"/>
          <w:color w:val="auto"/>
        </w:rPr>
        <w:t>. Over 95% of VITAS’ revenue consisted of payments from the Medicare and Medicaid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Such payments are made primarily on a “per diem” basis. Under the per diem reimbursement methodology, VITAS is essentially at risk for the cost of eligible services provided to hospice patients. Profitability is therefore largely dependent upon VITAS’ ability to manage the costs of providing hospice services to patients. Increases in operating costs, such as labor and supply costs that are subject to inflation and other increases, without a compensating increase in Medicare and Medicaid rates, could have a material adverse effect on VITAS’ business in the future. The Medicare and Medicaid programs are increasing pressure to control health care costs and to decrease or limit increases in reimbursement rates for health care services. As with most government programs, the Medicare and Medicaid programs are subject to statutory and regulatory changes, possible retroactive and prospective rate and payment adjustments, administrative rulings, freezes and funding reductions, all of which may adversely affect the level of program payments and could have a material adverse effect on VITAS’ business. VITAS’ levels of revenues and profitability are subject to the effect of legislative and regulatory changes, including possible reductions in coverage or payment rates, increased scrutiny of claims necessitating additional resources to respond, or changes in methods of payment, by the Medicare and Medicaid programs.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Government Payments – Medicare</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i w:val="1"/>
          <w:iCs w:val="1"/>
          <w:color w:val="auto"/>
        </w:rPr>
        <w:t>Medicare Eligibility Criteria</w:t>
      </w:r>
      <w:r>
        <w:rPr>
          <w:rFonts w:ascii="Arial" w:cs="Arial" w:eastAsia="Arial" w:hAnsi="Arial"/>
          <w:sz w:val="17"/>
          <w:szCs w:val="17"/>
          <w:color w:val="auto"/>
        </w:rPr>
        <w:t>. To receive Medicare payment for hospice services, the hospice medical director and, if the patient has one, the</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attending physician, must certify and describe in a brief narrative that the patient has a life expectancy of six months or less if the illness runs its normal course. This determination is made based on the physician’s clinical judgment. Due to the uncertainty of such prognoses, however, it is likely and expected that some percentage of hospice patients will not die within six months of entering a hospice program. The Medicare program (among other third-party payers) recognizes that terminal illnesses often do not follow an entirely predictable course, and therefore the hospice benefit remains available to beneficiaries so long as the hospice physician or the patient’s attending physician continues to certify that the patient’s life expectancy remains six months or less and the patient or patient’s legal representative, continues to maintain the hospice election. Specifically, the Medicare hospice benefit provides for two initial 90 day benefit periods followed by an unlimited number of 60 day periods. In order to qualify for hospice care, a Medicare beneficiary must elect hospice care and waive any right to other Medicare benefits related to his or her terminal illness. A Medicare beneficiary may revoke his or her election of the Medicare hospice benefit at any time and resume receiving regular Medicare benefits. The patient may elect the hospice benefit again at a later date so long as he or she remains eligible. The Medicare program, however,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18"/>
          <w:szCs w:val="18"/>
          <w:color w:val="auto"/>
        </w:rPr>
        <w:t>has reaffirmed that Medicare hospice beneficiaries are not limited to six months of coverage and that there is no limit on how long a Medicare beneficiary can continue to receive hospice benefits and services, provided that the beneficiary continues to meet the eligibility criteria under the Medicare hospice program.</w:t>
      </w:r>
    </w:p>
    <w:p>
      <w:pPr>
        <w:spacing w:after="0" w:line="10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i w:val="1"/>
          <w:iCs w:val="1"/>
          <w:color w:val="auto"/>
        </w:rPr>
        <w:t>Levels of Care</w:t>
      </w:r>
      <w:r>
        <w:rPr>
          <w:rFonts w:ascii="Arial" w:cs="Arial" w:eastAsia="Arial" w:hAnsi="Arial"/>
          <w:sz w:val="18"/>
          <w:szCs w:val="18"/>
          <w:color w:val="auto"/>
        </w:rPr>
        <w:t>. Medicare pays for hospice services on a prospective payment system basis under which VITAS receives an established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each day that it provides hospice services to a Medicare beneficiary. These rates are subject to annual adjustments for inflation and vary based upon the geographic location where the services are provided. The rate VITAS receives depends on which level of care is being provided to the beneficiary.</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are four levels of care and related reimbursement within the Medicare Hospice Benefit. These levels of care are Routine Home Care, Continuous Care, Inpatient Care and Respite Care. Medicare hospice providers are required under Medicare’s Conditions of Participation and their regulations to provide all four levels of care, available on a 24/7 basis, when appropriate.</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VITAS, as required under Medicare’s Conditions of Participation and their regulations, has the ability to provide all levels of care to its patients. The actual level of care a patient receives on any given day is based upon the clinical needs of the patient.</w:t>
      </w:r>
    </w:p>
    <w:p>
      <w:pPr>
        <w:spacing w:after="0" w:line="143"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i w:val="1"/>
          <w:iCs w:val="1"/>
          <w:color w:val="auto"/>
        </w:rPr>
        <w:t>Routine Home Care</w:t>
      </w:r>
      <w:r>
        <w:rPr>
          <w:rFonts w:ascii="Arial" w:cs="Arial" w:eastAsia="Arial" w:hAnsi="Arial"/>
          <w:sz w:val="18"/>
          <w:szCs w:val="18"/>
          <w:color w:val="auto"/>
        </w:rPr>
        <w:t>. The routine home care rate is paid for each day that a patient is in a hospice program and is not receiving one of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categories of hospice care. The routine home care rate is a two 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care rate.</w:t>
      </w:r>
    </w:p>
    <w:p>
      <w:pPr>
        <w:spacing w:after="0" w:line="151" w:lineRule="exact"/>
        <w:rPr>
          <w:sz w:val="20"/>
          <w:szCs w:val="20"/>
          <w:color w:val="auto"/>
        </w:rPr>
      </w:pPr>
    </w:p>
    <w:p>
      <w:pPr>
        <w:jc w:val="both"/>
        <w:ind w:left="660"/>
        <w:spacing w:after="0" w:line="253" w:lineRule="auto"/>
        <w:rPr>
          <w:sz w:val="20"/>
          <w:szCs w:val="20"/>
          <w:color w:val="auto"/>
        </w:rPr>
      </w:pPr>
      <w:r>
        <w:rPr>
          <w:rFonts w:ascii="Arial" w:cs="Arial" w:eastAsia="Arial" w:hAnsi="Arial"/>
          <w:sz w:val="17"/>
          <w:szCs w:val="17"/>
          <w:i w:val="1"/>
          <w:iCs w:val="1"/>
          <w:color w:val="auto"/>
        </w:rPr>
        <w:t>General Inpatient Care</w:t>
      </w:r>
      <w:r>
        <w:rPr>
          <w:rFonts w:ascii="Arial" w:cs="Arial" w:eastAsia="Arial" w:hAnsi="Arial"/>
          <w:sz w:val="17"/>
          <w:szCs w:val="17"/>
          <w:color w:val="auto"/>
        </w:rPr>
        <w:t>. The general inpatient care rate is paid when a patient requires inpatient services for a short period for pain control or</w:t>
      </w:r>
      <w:r>
        <w:rPr>
          <w:rFonts w:ascii="Arial" w:cs="Arial" w:eastAsia="Arial" w:hAnsi="Arial"/>
          <w:sz w:val="17"/>
          <w:szCs w:val="17"/>
          <w:i w:val="1"/>
          <w:iCs w:val="1"/>
          <w:color w:val="auto"/>
        </w:rPr>
        <w:t xml:space="preserve"> </w:t>
      </w:r>
      <w:r>
        <w:rPr>
          <w:rFonts w:ascii="Arial" w:cs="Arial" w:eastAsia="Arial" w:hAnsi="Arial"/>
          <w:sz w:val="17"/>
          <w:szCs w:val="17"/>
          <w:color w:val="auto"/>
        </w:rPr>
        <w:t>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13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i w:val="1"/>
          <w:iCs w:val="1"/>
          <w:color w:val="auto"/>
        </w:rPr>
        <w:t xml:space="preserve">Continuous Home Care. </w:t>
      </w:r>
      <w:r>
        <w:rPr>
          <w:rFonts w:ascii="Arial" w:cs="Arial" w:eastAsia="Arial" w:hAnsi="Arial"/>
          <w:sz w:val="18"/>
          <w:szCs w:val="18"/>
          <w:color w:val="auto"/>
        </w:rPr>
        <w:t>Continuous home care, which VITAS refers to as “Intensive Comfort Care,” is provided to patients while at home,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periods of crisis when intensive monitoring and care, primarily nursing care, is required in order to achieve palliation or management of acute medical symptoms. Continuous home care requires a minimum of 8 hours of care within a 24 hour day, which begins and ends at midnight. The care must be predominantly nursing care provided by either a registered nurse or licensed practical nurse. While the published Medicare continuous home care rates are daily rates, Medicare actually pays for continuous home care in 15 minute increments. This 15 minute rate is calculated by dividing the daily rate by 96.</w:t>
      </w:r>
    </w:p>
    <w:p>
      <w:pPr>
        <w:spacing w:after="0" w:line="148" w:lineRule="exact"/>
        <w:rPr>
          <w:sz w:val="20"/>
          <w:szCs w:val="20"/>
          <w:color w:val="auto"/>
        </w:rPr>
      </w:pPr>
    </w:p>
    <w:p>
      <w:pPr>
        <w:jc w:val="both"/>
        <w:ind w:left="660"/>
        <w:spacing w:after="0" w:line="253" w:lineRule="auto"/>
        <w:rPr>
          <w:sz w:val="20"/>
          <w:szCs w:val="20"/>
          <w:color w:val="auto"/>
        </w:rPr>
      </w:pPr>
      <w:r>
        <w:rPr>
          <w:rFonts w:ascii="Arial" w:cs="Arial" w:eastAsia="Arial" w:hAnsi="Arial"/>
          <w:sz w:val="17"/>
          <w:szCs w:val="17"/>
          <w:i w:val="1"/>
          <w:iCs w:val="1"/>
          <w:color w:val="auto"/>
        </w:rPr>
        <w:t>Respite Care</w:t>
      </w:r>
      <w:r>
        <w:rPr>
          <w:rFonts w:ascii="Arial" w:cs="Arial" w:eastAsia="Arial" w:hAnsi="Arial"/>
          <w:sz w:val="17"/>
          <w:szCs w:val="17"/>
          <w:color w:val="auto"/>
        </w:rPr>
        <w:t>. Respite care permits a hospice patient to receive services on an inpatient basis for a short period of time in order to provide relief</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38" w:lineRule="exact"/>
        <w:rPr>
          <w:sz w:val="20"/>
          <w:szCs w:val="20"/>
          <w:color w:val="auto"/>
        </w:rPr>
      </w:pPr>
    </w:p>
    <w:p>
      <w:pPr>
        <w:jc w:val="both"/>
        <w:ind w:firstLine="648"/>
        <w:spacing w:after="0"/>
        <w:rPr>
          <w:sz w:val="20"/>
          <w:szCs w:val="20"/>
          <w:color w:val="auto"/>
        </w:rPr>
      </w:pPr>
      <w:r>
        <w:rPr>
          <w:rFonts w:ascii="Arial" w:cs="Arial" w:eastAsia="Arial" w:hAnsi="Arial"/>
          <w:sz w:val="17"/>
          <w:szCs w:val="17"/>
          <w:i w:val="1"/>
          <w:iCs w:val="1"/>
          <w:color w:val="auto"/>
        </w:rPr>
        <w:t xml:space="preserve">Medicare Payment for Physician Services. </w:t>
      </w:r>
      <w:r>
        <w:rPr>
          <w:rFonts w:ascii="Arial" w:cs="Arial" w:eastAsia="Arial" w:hAnsi="Arial"/>
          <w:sz w:val="17"/>
          <w:szCs w:val="17"/>
          <w:color w:val="auto"/>
        </w:rPr>
        <w:t>Payment for direct patient care physician services delivered by hospice physicians is billed separately</w:t>
      </w:r>
      <w:r>
        <w:rPr>
          <w:rFonts w:ascii="Arial" w:cs="Arial" w:eastAsia="Arial" w:hAnsi="Arial"/>
          <w:sz w:val="17"/>
          <w:szCs w:val="17"/>
          <w:i w:val="1"/>
          <w:iCs w:val="1"/>
          <w:color w:val="auto"/>
        </w:rPr>
        <w:t xml:space="preserve"> </w:t>
      </w:r>
      <w:r>
        <w:rPr>
          <w:rFonts w:ascii="Arial" w:cs="Arial" w:eastAsia="Arial" w:hAnsi="Arial"/>
          <w:sz w:val="17"/>
          <w:szCs w:val="17"/>
          <w:color w:val="auto"/>
        </w:rPr>
        <w:t>by the hospice to the Medicare Administrative Contractors and paid at the lesser of the actual charge or the Medicare allowable charge for these services. This payment is in addition to the per diem rates VITAS receives for hospice care. Payment for hospice physicians’ administrative and general supervisory activities is included in the daily rates discussed above. Payments for attending physician professional services (other than services furnished by hospice physicians) are not paid to the hospice, but rather are paid directly to the attending physician by the Medicare Administrative Contractors. For fiscal 2021, less than 2% of VITAS’ net revenue was attributable to physician services.</w:t>
      </w:r>
    </w:p>
    <w:p>
      <w:pPr>
        <w:spacing w:after="0" w:line="15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Medicare Limits on Hospice Care Payments</w:t>
      </w:r>
      <w:r>
        <w:rPr>
          <w:rFonts w:ascii="Arial" w:cs="Arial" w:eastAsia="Arial" w:hAnsi="Arial"/>
          <w:sz w:val="18"/>
          <w:szCs w:val="18"/>
          <w:color w:val="auto"/>
        </w:rPr>
        <w:t>. Medicare payments for hospice services are subject to two additional limits or “caps”.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VITAS’ hospice programs is separately subject to both of these “caps”. Both of these “caps” are determined on an annual basis for the period running from October 1 through September 30 of each year.</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First, under a Medicare rule known as the “80-20” rule applicable to the Medicare inpatient services, if the number of inpatient care days furnished by a hospice to Medicare beneficiaries exceeds 20% of the total days of hospice care furnished by such hospice to Medicare beneficiaries, Medicare payments to the hospice for inpatient care days exceeding the cap are reduced to the routine home care rate.</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Second, Medicare payments to a hospice are also subject to a separate cap based on overall average payments per admission. Any payments exceeding this overall hospice cap must be refunded by the hospice. This cap was set at $30,683.93 per admission for the twelve month period ended on September 30, 2021, increased to $31,297.61 for the twelve month period ending on September 30,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8"/>
          <w:szCs w:val="18"/>
          <w:color w:val="auto"/>
        </w:rPr>
        <w:t>2022, and is adjusted annually to account for inflation. VITAS’ hospices may be subject to future payment reductions or recoupments as the result of this cap.</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i w:val="1"/>
          <w:iCs w:val="1"/>
          <w:color w:val="auto"/>
        </w:rPr>
        <w:t>Medicare Managed Care Programs</w:t>
      </w:r>
      <w:r>
        <w:rPr>
          <w:rFonts w:ascii="Arial" w:cs="Arial" w:eastAsia="Arial" w:hAnsi="Arial"/>
          <w:sz w:val="18"/>
          <w:szCs w:val="18"/>
          <w:color w:val="auto"/>
        </w:rPr>
        <w:t>. The Medicare program has entered into contracts with managed care companies to provide managed care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to Medicare beneficiaries who elect to participate in managed care programs. These managed care programs are commonly referred to as Medicare HMOs, Medicare Advantage or Medicare risk products. VITAS provides hospice care to Medicare beneficiaries who participate in these managed care programs, and VITAS is paid for services provided to these beneficiaries in the same way and at the same rates as those of other Medicare beneficiaries who are not in a Medicare managed care program. Under current Medicare policy, Medicare pays the hospice directly for services provided to these managed care program participants.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Government Payments – Medicaid</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i w:val="1"/>
          <w:iCs w:val="1"/>
          <w:color w:val="auto"/>
        </w:rPr>
        <w:t xml:space="preserve">Medicaid Coverage and Reimbursements. </w:t>
      </w:r>
      <w:r>
        <w:rPr>
          <w:rFonts w:ascii="Arial" w:cs="Arial" w:eastAsia="Arial" w:hAnsi="Arial"/>
          <w:sz w:val="18"/>
          <w:szCs w:val="18"/>
          <w:color w:val="auto"/>
        </w:rPr>
        <w:t>State Medicaid programs are another source of VITAS’ net patient revenue. Medicaid is a state-administered program financed by state funds and federal funds to provide medical assistance to the indigent and certain other eligible persons. For those states that elect to provide a hospice benefit, the Medicaid program is required to pay the hospice at rates at least equal to the rates provided under Medicare and calculated using the same methodology. States maintain flexibility to establish their own hospice election procedures and to limit the number and duration of benefit periods for which they will pay for hospice services. Reimbursement from state Medicaid programs in 2021 accounted for approximately 5% of VITAS’ revenues.</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i w:val="1"/>
          <w:iCs w:val="1"/>
          <w:color w:val="auto"/>
        </w:rPr>
        <w:t xml:space="preserve">Nursing Home Residents. </w:t>
      </w:r>
      <w:r>
        <w:rPr>
          <w:rFonts w:ascii="Arial" w:cs="Arial" w:eastAsia="Arial" w:hAnsi="Arial"/>
          <w:sz w:val="18"/>
          <w:szCs w:val="18"/>
          <w:color w:val="auto"/>
        </w:rPr>
        <w:t>For VITAS’ patients who receive nursing home care under a state Medicaid program and who elect hospice care under</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or Medicaid, VITAS contracts with nursing homes for the nursing homes’ provision of room and board services. In addition to the applicable Medicare or Medicaid hospice daily or hourly rate, the state generally must pay VITAS an amount equal to at least 95% of the Medicaid daily nursing home rate for room and board services furnished to the patient by the nursing home. Under VITAS’ standard nursing home contracts, VITAS pays the nursing home for these room and board services at the Medicaid daily nursing home rate.</w:t>
      </w:r>
    </w:p>
    <w:p>
      <w:pPr>
        <w:spacing w:after="0" w:line="15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i w:val="1"/>
          <w:iCs w:val="1"/>
          <w:color w:val="auto"/>
        </w:rPr>
        <w:t>Managed Medicaid</w:t>
      </w:r>
      <w:r>
        <w:rPr>
          <w:rFonts w:ascii="Arial" w:cs="Arial" w:eastAsia="Arial" w:hAnsi="Arial"/>
          <w:sz w:val="18"/>
          <w:szCs w:val="18"/>
          <w:color w:val="auto"/>
        </w:rPr>
        <w:t>. In some states in which VITAS operates, the state legislatures have established managed Medicaid programs.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programs outsource the process of eligibility determination and payment by Medicaid to private insurance companies. In some states, participants are required to choose a managed Medicaid provider. VITAS negotiates participant eligibility and documentation requirements, as well as hospice pay rates with each managed Medicaid provider. These requirements and pay rates may or may not align with the applicable Medicare hospice regulations and pay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to Medicare and Medicaid Payment Rates.</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Payment rates under the Medicare and Medicaid programs are adjusted annually for inflation based upon the Hospital Market Basket Index and the Consumer Price Index; however, the adjustments have historically been less than actual inflation. These base rates are further modified by the Hospice Wage Index to reflect local differences in wages according to the revised wage index. Effective April 1, 2013, the Federal government implemented a 2% reimbursement cut for all Medicare programs, including hospice. It is possible that there will be further modifications to the rate structure under which the Medicare or Medicaid programs pay for hospice care services; the current cut is scheduled to last through the Federal Government’s fiscal year 2027. Any future reductions in the rate of increase or an actual decrease in Medicare and Medicaid payments may have an adverse impact on VITAS’ net patient service revenue and profitability. On July 31, 2015, CMS published the final full year 2016 hospice wage index providing guidance to hospice providers regarding changes to hospice reimbursement for full year 2016. Effective January 1, 2016 the routine home care rate changed to reflect a two-tiered rate, with a higher rate for the first 60 days of a hospice patient’s care, and a lower rate for days 61 and after. In addition, the full year 2016 wage rule provides reimbursement of a Service Intensity Add-on payment. This Service Intensity Add-on payment also went into effect on January 1, 2016, and applies to direct home care visits conducted by a registered nurse or social worker in the last seven days of a hospice patient’s life while on the routine home care level of care.</w:t>
      </w:r>
    </w:p>
    <w:p>
      <w:pPr>
        <w:spacing w:after="0" w:line="15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August 6, 2019, the Centers for Medicare and Medicaid Services released the fiscal year 2020 hospice wage index and payment rate update (FY 2020 update). The FY 2020 update includes the normal yearly inflationary increase by level of care plus a rebasing of the continuous care, inpatient care and respite care rates. The rebasing of these levels of care was to reflect non-inflationary changes in providers’ costs over time. The rebasing increased the national average reimbursement rate for continuous care by 39.9% and inpatient care by 34.7%. Respite care is not material to our operations. The rebasing of these levels of care was effective on October 1, 2019. On July 31, 2021, the Centers for Medicare and Medicaid Services released the 2022 inflationary increase effective October 1, 2021, which was 2.0%</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March 27, 2020, the CARES Act was passed. Among other things, it suspended the 2% reimbursement cut for all Medicare programs for the period May 1, 2020 to December 31, 2020. Subsequent legislation has been passed that continues to suspend the 2% reimbursement cut through March 31, 2022. Sequestration will be phased back into place at 1% from April 1, 2022 to June 30, 2022 and the full 2% thereafter.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u w:val="single" w:color="auto"/>
          <w:color w:val="auto"/>
        </w:rPr>
        <w:t>Other Healthcare Regulations</w:t>
      </w:r>
    </w:p>
    <w:p>
      <w:pPr>
        <w:spacing w:after="0" w:line="17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i w:val="1"/>
          <w:iCs w:val="1"/>
          <w:color w:val="auto"/>
        </w:rPr>
        <w:t>Federal and State Anti-Kickback Laws and Safe Harbor Provisions</w:t>
      </w:r>
      <w:r>
        <w:rPr>
          <w:rFonts w:ascii="Arial" w:cs="Arial" w:eastAsia="Arial" w:hAnsi="Arial"/>
          <w:sz w:val="18"/>
          <w:szCs w:val="18"/>
          <w:color w:val="auto"/>
        </w:rPr>
        <w:t>. The federal Anti-Kickback Law makes it a felony to knowingly and willingly</w:t>
      </w:r>
      <w:r>
        <w:rPr>
          <w:rFonts w:ascii="Arial" w:cs="Arial" w:eastAsia="Arial" w:hAnsi="Arial"/>
          <w:sz w:val="18"/>
          <w:szCs w:val="18"/>
          <w:i w:val="1"/>
          <w:iCs w:val="1"/>
          <w:color w:val="auto"/>
        </w:rPr>
        <w:t xml:space="preserve"> </w:t>
      </w:r>
      <w:r>
        <w:rPr>
          <w:rFonts w:ascii="Arial" w:cs="Arial" w:eastAsia="Arial" w:hAnsi="Arial"/>
          <w:sz w:val="18"/>
          <w:szCs w:val="18"/>
          <w:color w:val="auto"/>
        </w:rPr>
        <w:t>offer, pay, solicit or receive any form of remuneration in exchange for referring, recommending, arranging, purchasing, leasing or ordering items or services covered by a federal health care program including Medicare or Medicaid. The Anti-Kickback Law applies regardless of whether the remuneration is provided directly or indirectly, in cash or in kind. Although the Anti-Kickback statute does not prohibit all financial transactions or relationships that providers of healthcare items or services may have with each other, interpretations of the law have been very broad. Under current law, courts and federal regulatory authorities have stated that this law is violated if even one purpose (as opposed to the sole or primary purpose) of the arrangement is to induce referrals.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Violations of the Anti-Kickback Law carry potentially severe penalties including imprisonment of up to ten years, criminal fines of up to $100,000 per act, civil money penalties of up to $100,000 per act, and additional damages of up to three times the amounts claimed or remuneration offered or paid. Federal law also authorizes exclusion from the Medicare and Medicaid programs for violations of the Anti-Kickback Law.</w:t>
      </w:r>
    </w:p>
    <w:p>
      <w:pPr>
        <w:spacing w:after="0" w:line="13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The Anti-Kickback Law contains several statutory exceptions to the broad prohibition. In addition, Congress authorized the OIG to publish numerous “safe harbors” that exempt some practices from enforcement action under the Anti-Kickback Law and related laws. These statutory exceptions and regulatory safe harbors protect various bona fide employment relationships, contracts for the rental of space or equipment, personal service arrangements, and management contracts, among other things, provided that certain conditions set forth in the statute or regulations are satisfied. The safe harbor regulations, however, do not comprehensively describe all lawful relationships between healthcare providers and referral sources, and the failure of an arrangement to satisfy all of the requirements of a particular safe harbor does not mean that the arrangement is unlawful. Failure to comply with the safe harbor provisions, however, may mean that the arrangement will be subject to scrutiny.</w:t>
      </w:r>
    </w:p>
    <w:p>
      <w:pPr>
        <w:spacing w:after="0" w:line="1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Many states, including states where VITAS does business, have adopted similar prohibitions against payments that are intended to induce referrals of patients, regardless of the source of payment. Some of these state laws lack explicit “safe harbors” that may be available under federal law. Sanctions under these state anti-kickback laws may include civil money penalties, license suspension or revocation, exclusion from the Medicare or Medicaid programs, and criminal fines or imprisonment. Little precedent exists regarding the interpretation or enforcement of these statutes.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VITAS is required under the Medicare conditions of participation and some state licensing laws to contract with numerous healthcare providers and practitioners, including physicians, hospitals and nursing homes, and to arrange for these individuals or entities to provide services to VITAS’ patients. In addition, VITAS has contracts with other suppliers, including pharmacies, ambulance services and medical equipment companies. Some of these individuals or entities may refer, or be in a position to refer, patients to VITAS, and VITAS may refer, or be in a position to refer, patients to these individuals or entities. These arrangements may not qualify for a safe harbor. VITAS from time to time seeks guidance from regulatory counsel as to the changing and evolving interpretations and the potential applicability of these anti-kickback laws to its programs, and in response thereto, takes such actions as it deems appropriate. The Company generally believes that VITAS’ contracts and arrangements with providers, practitioners and suppliers do not violate applicable anti-kickback laws. However, the Company cannot assure that such laws will ultimately be interpreted in a manner consistent with VITAS’ practices.</w:t>
      </w:r>
    </w:p>
    <w:p>
      <w:pPr>
        <w:spacing w:after="0" w:line="15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i w:val="1"/>
          <w:iCs w:val="1"/>
          <w:color w:val="auto"/>
        </w:rPr>
        <w:t>HIPAA Anti-Fraud Provisions</w:t>
      </w:r>
      <w:r>
        <w:rPr>
          <w:rFonts w:ascii="Arial" w:cs="Arial" w:eastAsia="Arial" w:hAnsi="Arial"/>
          <w:sz w:val="18"/>
          <w:szCs w:val="18"/>
          <w:color w:val="auto"/>
        </w:rPr>
        <w:t>. HIPAA includes several revisions to existing health care fraud laws by permitting the imposition of civil monetary</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in cases involving violations of the anti-kickback statute or contracting with excluded providers. In addition, HIPAA created statutes making it a federal felony to engage in fraud, theft, embezzlement, or the making of false statements with respect to healthcare benefit programs, which include private, as well as government programs. In addition, federal enforcement officials have the ability to exclude from the Medicare and Medicaid programs any investors, officers and managing employees associated with business entities that have committed healthcare fraud, even if the investor, officer or employee had no actual knowledge of the fraud.</w:t>
      </w:r>
    </w:p>
    <w:p>
      <w:pPr>
        <w:spacing w:after="0" w:line="148" w:lineRule="exact"/>
        <w:rPr>
          <w:sz w:val="20"/>
          <w:szCs w:val="20"/>
          <w:color w:val="auto"/>
        </w:rPr>
      </w:pPr>
    </w:p>
    <w:p>
      <w:pPr>
        <w:ind w:right="240" w:firstLine="648"/>
        <w:spacing w:after="0" w:line="276" w:lineRule="auto"/>
        <w:rPr>
          <w:sz w:val="20"/>
          <w:szCs w:val="20"/>
          <w:color w:val="auto"/>
        </w:rPr>
      </w:pPr>
      <w:r>
        <w:rPr>
          <w:rFonts w:ascii="Arial" w:cs="Arial" w:eastAsia="Arial" w:hAnsi="Arial"/>
          <w:sz w:val="16"/>
          <w:szCs w:val="16"/>
          <w:i w:val="1"/>
          <w:iCs w:val="1"/>
          <w:color w:val="auto"/>
        </w:rPr>
        <w:t>OIG Fraud Alerts, Advisory Opinions and Other Program Guidance</w:t>
      </w:r>
      <w:r>
        <w:rPr>
          <w:rFonts w:ascii="Arial" w:cs="Arial" w:eastAsia="Arial" w:hAnsi="Arial"/>
          <w:sz w:val="16"/>
          <w:szCs w:val="16"/>
          <w:color w:val="auto"/>
        </w:rPr>
        <w:t>. The OIG identifies and seeks to eliminate fraud, abuse and waste in HHS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The OIG conducts audits, investigations and inspections and issues public pronouncements identifying practices that may be subject to heightened scrutiny. There have been a number of hospice related audits and reviews conducted. These reviews and recommendations have included:</w:t>
      </w:r>
    </w:p>
    <w:p>
      <w:pPr>
        <w:spacing w:after="0" w:line="121" w:lineRule="exact"/>
        <w:rPr>
          <w:sz w:val="20"/>
          <w:szCs w:val="20"/>
          <w:color w:val="auto"/>
        </w:rPr>
      </w:pPr>
    </w:p>
    <w:p>
      <w:pPr>
        <w:ind w:left="1300" w:right="1500"/>
        <w:spacing w:after="0" w:line="481" w:lineRule="auto"/>
        <w:rPr>
          <w:sz w:val="20"/>
          <w:szCs w:val="20"/>
          <w:color w:val="auto"/>
        </w:rPr>
      </w:pPr>
      <w:r>
        <w:rPr>
          <w:rFonts w:ascii="Arial" w:cs="Arial" w:eastAsia="Arial" w:hAnsi="Arial"/>
          <w:sz w:val="18"/>
          <w:szCs w:val="18"/>
          <w:color w:val="auto"/>
        </w:rPr>
        <w:t>Ensuring that Medicare hospice eligibility determinations are made in accordance with the Medicare regulations; and Revising the annual cap on hospice benefits to better reflect the cost of care provided.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jc w:val="both"/>
        <w:ind w:firstLine="648"/>
        <w:spacing w:after="0" w:line="235" w:lineRule="auto"/>
        <w:rPr>
          <w:sz w:val="20"/>
          <w:szCs w:val="20"/>
          <w:color w:val="auto"/>
        </w:rPr>
      </w:pPr>
      <w:r>
        <w:rPr>
          <w:rFonts w:ascii="Arial" w:cs="Arial" w:eastAsia="Arial" w:hAnsi="Arial"/>
          <w:sz w:val="18"/>
          <w:szCs w:val="18"/>
          <w:color w:val="auto"/>
        </w:rPr>
        <w:t>Currently, VITAS is one of a group of hospice providers selected by the OIG’s Office of Audit Services (“OAS”) for inclusion in an audit of the provision of elevated level-of-care hospice services to a sample of patients. Please see Note 17 “Legal and Regulatory Matters” for a further description of the audit and certain possible claims that may arise out of it.</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From time to time, various federal and state agencies, such as HHS and the OIG, issue a variety of pronouncements, including fraud alerts, the OIG’s Annual Work Plan and other reports, identifying practices that may be subject to heightened governmental scrutiny. The Company cannot predict what, if any, changes may be implemented in coverage, reimbursement, or enforcement policies as a result of these OIG reviews and recommendations.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October 30, 2017, the Company entered into a settlement agreement to resolve civil litigation under the False Claims Act brought by the United States Department of Justice (“DOJ”) on behalf of the OIG and various relators concerning VITAS, filed in the U.S. District Court of the Western District of Missouri. The Company denied any violation of law and agreed to settlement without admission of wrongdoing.</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connection with the settlement, VITAS and certain of its subsidiaries entered into a corporate integrity agreement (“CIA”) on October 30, 2017. The CIA formalizes various aspects of VITAS’ already existing Compliance Program and contains requirements designed to document compliance with federal healthcare program requirements. It has a term of five years during which it imposes monitoring, reporting, certification, oversight, screening and training obligations, certain of which had previously been implemented by VITAS. It also requires VITAS to engage an Independent Review Organization to perform audit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i w:val="1"/>
          <w:iCs w:val="1"/>
          <w:color w:val="auto"/>
        </w:rPr>
        <w:t xml:space="preserve">Federal False Claims Acts. </w:t>
      </w:r>
      <w:r>
        <w:rPr>
          <w:rFonts w:ascii="Arial" w:cs="Arial" w:eastAsia="Arial" w:hAnsi="Arial"/>
          <w:sz w:val="16"/>
          <w:szCs w:val="16"/>
          <w:color w:val="auto"/>
        </w:rPr>
        <w:t>The federal law includes several criminal and civil false claims provisions, which provide that knowingly submitting</w:t>
      </w:r>
      <w:r>
        <w:rPr>
          <w:rFonts w:ascii="Arial" w:cs="Arial" w:eastAsia="Arial" w:hAnsi="Arial"/>
          <w:sz w:val="16"/>
          <w:szCs w:val="16"/>
          <w:i w:val="1"/>
          <w:iCs w:val="1"/>
          <w:color w:val="auto"/>
        </w:rPr>
        <w:t xml:space="preserve"> </w:t>
      </w:r>
      <w:r>
        <w:rPr>
          <w:rFonts w:ascii="Arial" w:cs="Arial" w:eastAsia="Arial" w:hAnsi="Arial"/>
          <w:sz w:val="16"/>
          <w:szCs w:val="16"/>
          <w:color w:val="auto"/>
        </w:rPr>
        <w:t>claims for items or services that were not provided as represented may result in the imposition of multiple damages, administrative civil money penalties, criminal fines, imprisonment, and/or exclusion from participation in federally funded healthcare programs, including Medicare and Medicaid. In addition, the OIG may impose extensive and costly corporate integrity requirements upon a healthcare provider that is the subject of a false claims judgment or settlement. These requirements may include the creation of a formal compliance program, the appointment of a government monitor, and the imposition of annual reporting requirements and audits conducted by an independent review organization to monitor compliance with the terms of the agreement and relevant laws and regulations. The Affordable Care Act also contains provisions aimed at strengthening fraud and abuse enforcement.</w:t>
      </w:r>
    </w:p>
    <w:p>
      <w:pPr>
        <w:spacing w:after="0" w:line="13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As described above, VITAS and certain of its subsidiaries entered into a CIA with the OIG on October 30, 2017 in connection with the prior settlement of a False Claims Act Case.</w:t>
      </w:r>
    </w:p>
    <w:p>
      <w:pPr>
        <w:spacing w:after="0" w:line="1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The Civil False Claims Act prohibits the known filing of a false claim or the known use of false statements to obtain payments. Penalties for violations include fines ranging from $5,500 to $11,000 (as adjusted for inflation), plus treble damages, for each claim filed. Provisions in the Civil False Claims Act also permit individuals to bring actions against individuals or businesses in the name of the government as “qui tam” relators. If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relator’s claim is successful, he or she is entitled to share the government’s recovery.</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Both direct enforcement activity by the government and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and have increased the risk that a healthcare company may have to defend a false claims action, pay fines or be excluded from the Medicare and/or Medicaid programs as a result of an investigation arising out of this type of an action. Because of the complexity of the government regulations applicable to the healthcare industry, the Company cannot assure that VITAS will not be the subject of other actions under the False Claims Act.</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 xml:space="preserve">State False Claims Laws. </w:t>
      </w:r>
      <w:r>
        <w:rPr>
          <w:rFonts w:ascii="Arial" w:cs="Arial" w:eastAsia="Arial" w:hAnsi="Arial"/>
          <w:sz w:val="18"/>
          <w:szCs w:val="18"/>
          <w:color w:val="auto"/>
        </w:rPr>
        <w:t>Several states in which VITAS currently operates have adopted state false claims laws that mirror to some degree the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false claims laws. While these statutes vary in scope and effect, the penalties for violating these false claims laws include administrative, civil and/or criminal fines and penalties, imprisonment, and the imposition of multiple damages.</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i w:val="1"/>
          <w:iCs w:val="1"/>
          <w:color w:val="auto"/>
        </w:rPr>
        <w:t xml:space="preserve">The Stark Law and State Physician Self-Referral Laws. </w:t>
      </w:r>
      <w:r>
        <w:rPr>
          <w:rFonts w:ascii="Arial" w:cs="Arial" w:eastAsia="Arial" w:hAnsi="Arial"/>
          <w:sz w:val="18"/>
          <w:szCs w:val="18"/>
          <w:color w:val="auto"/>
        </w:rPr>
        <w:t>Section 1877 of the Social Security Act, commonly known as the “Stark Law”, prohibits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from referring Medicare or Medicaid patients for “designated health services” to entities in which they hold an ownership or investment interest or with whom they have a compensation arrangement, subject to a number of statutory and regulatory exceptions. Penalties for violating the Stark Law are severe and include:</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Denial of payment;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Civil monetary penalties of $15,000 per referral or $100,000 for “circumvention schemes;” (each adjusted for inflation)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Assessments equal to 200% of the dollar value of each such service provided; and</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left="1300"/>
        <w:spacing w:after="0"/>
        <w:rPr>
          <w:sz w:val="20"/>
          <w:szCs w:val="20"/>
          <w:color w:val="auto"/>
        </w:rPr>
      </w:pPr>
      <w:r>
        <w:rPr>
          <w:rFonts w:ascii="Arial" w:cs="Arial" w:eastAsia="Arial" w:hAnsi="Arial"/>
          <w:sz w:val="18"/>
          <w:szCs w:val="18"/>
          <w:color w:val="auto"/>
        </w:rPr>
        <w:t>Exclusion from the Medicare and Medicaid programs.</w:t>
      </w:r>
    </w:p>
    <w:p>
      <w:pPr>
        <w:spacing w:after="0" w:line="18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Hospice care itself is not specifically listed as a designated health service; however, certain services that VITAS provides, or in the future may provide, are among the services identified as designated health services for purposes of the self-referral laws. The Company cannot assure that future regulatory changes will not result in hospice services becoming subject to the Stark Law’s ownership, investment or compensation prohibitions in the future.</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Many states where VITAS operates have laws similar to the Stark Law, but with broader effect because they apply regardless of the source of payment for care. Penalties similar to those listed above as well as the loss of state licensure may be imposed in the event of a violation of these state self-referral laws. Little precedent exists regarding the interpretation or enforcement of these statutes.</w:t>
      </w:r>
    </w:p>
    <w:p>
      <w:pPr>
        <w:spacing w:after="0" w:line="1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i w:val="1"/>
          <w:iCs w:val="1"/>
          <w:color w:val="auto"/>
        </w:rPr>
        <w:t xml:space="preserve">Civil Monetary Penalties. </w:t>
      </w:r>
      <w:r>
        <w:rPr>
          <w:rFonts w:ascii="Arial" w:cs="Arial" w:eastAsia="Arial" w:hAnsi="Arial"/>
          <w:sz w:val="16"/>
          <w:szCs w:val="16"/>
          <w:color w:val="auto"/>
        </w:rPr>
        <w:t>The Civil Monetary Penalties Statute provides that civil penalties ranging between $20,000 and $100,000 per claim or</w:t>
      </w:r>
      <w:r>
        <w:rPr>
          <w:rFonts w:ascii="Arial" w:cs="Arial" w:eastAsia="Arial" w:hAnsi="Arial"/>
          <w:sz w:val="16"/>
          <w:szCs w:val="16"/>
          <w:i w:val="1"/>
          <w:iCs w:val="1"/>
          <w:color w:val="auto"/>
        </w:rPr>
        <w:t xml:space="preserve"> </w:t>
      </w:r>
      <w:r>
        <w:rPr>
          <w:rFonts w:ascii="Arial" w:cs="Arial" w:eastAsia="Arial" w:hAnsi="Arial"/>
          <w:sz w:val="16"/>
          <w:szCs w:val="16"/>
          <w:color w:val="auto"/>
        </w:rPr>
        <w:t>act (each adjusted for inflation) may be imposed on any person or entity that knowingly submits improperly filed claims for federal health benefits or that offers or makes payment to induce a beneficiary or provider to reduce or limit the use of health care services or to use a particular provider or supplier. Civil monetary penalties may be imposed for violations of the anti-kickback statute and for the failure to return known overpayments, among other things.</w:t>
      </w:r>
    </w:p>
    <w:p>
      <w:pPr>
        <w:spacing w:after="0" w:line="1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i w:val="1"/>
          <w:iCs w:val="1"/>
          <w:color w:val="auto"/>
        </w:rPr>
        <w:t xml:space="preserve">Prohibition on Employing or Contracting with Excluded Providers. </w:t>
      </w:r>
      <w:r>
        <w:rPr>
          <w:rFonts w:ascii="Arial" w:cs="Arial" w:eastAsia="Arial" w:hAnsi="Arial"/>
          <w:sz w:val="17"/>
          <w:szCs w:val="17"/>
          <w:color w:val="auto"/>
        </w:rPr>
        <w:t>The Social Security Act and federal regulations state that individuals or</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have been convicted of a criminal offense related to the delivery of an item or service under Medicare or Medicaid programs or that have been convicted, under state and federal law, of a criminal offense relating to neglect or abuse of residents in connection with the delivery of a healthcare item or service cannot participate in any federal health care programs, including Medicare and Medicaid. Additionally, individuals and entities convicted of fraud, that have had their licenses revoked or suspended, or that have failed to provide services of adequate quality also may be excluded from the Medicare and Medicaid programs. Federal regulations prohibit Medicare providers, including hospice programs, from submitting claims for items or services or their related costs if an excluded provider furnished those items or services. The OIG maintains a list of excluded persons and entities. Nonetheless, it is possible that VITAS might unknowingly bill for services provided by an excluded person or entity with whom it contracts. The penalty for contracting with an excluded provider may range from civil monetary penalties of $100,000 (as adjusted for inflation) and damages of up to three times the amount of payment that was inappropriately received.</w:t>
      </w:r>
    </w:p>
    <w:p>
      <w:pPr>
        <w:spacing w:after="0" w:line="14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i w:val="1"/>
          <w:iCs w:val="1"/>
          <w:color w:val="auto"/>
        </w:rPr>
        <w:t xml:space="preserve">Corporate Practice of Medicine and Fee Splitting. </w:t>
      </w:r>
      <w:r>
        <w:rPr>
          <w:rFonts w:ascii="Arial" w:cs="Arial" w:eastAsia="Arial" w:hAnsi="Arial"/>
          <w:sz w:val="18"/>
          <w:szCs w:val="18"/>
          <w:color w:val="auto"/>
        </w:rPr>
        <w:t>Most states have laws that restrict or prohibit anyone other than a licensed physician,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entities such as corporations, from employing physicians and/or prohibit payments or fee-splitting arrangements between physicians and corporations or unlicensed individuals. Penalties for violations of corporate practice of medicine and fee-splitting laws vary from state to state, but may include civil or criminal penalties, the restructuring or termination of the business arrangements between the physician and unlicensed individual or business entity, or even the loss of the physician’s license to practice medicine. These laws vary widely from state to state both in scope and origin (e.g. statute, regulation, Attorney General opinion, court ruling, agency policy) and in most instances have been subject to only limited interpretation by the courts or regulatory bodies.</w:t>
      </w:r>
    </w:p>
    <w:p>
      <w:pPr>
        <w:spacing w:after="0" w:line="15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VITAS employs or contracts with physicians to provide medical direction and patient care services to its patients. VITAS has made efforts in those states where certain contracting or fee arrangements are restricted or prohibited to structure those arrangements, including its palliative care offerings, in compliance with the applicable laws and regulations. Despite these efforts, however, the Company cannot assure that agency officials charged with enforcing these laws will not interpret VITAS’ contracts with employed or independent contractor physicians as violating the relevant laws or regulations. Future determinations or interpretations by individual states with corporate practice of medicine or fee splitting restrictions may force VITAS to restructure its arrangements with physicians in those locations.</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i w:val="1"/>
          <w:iCs w:val="1"/>
          <w:color w:val="auto"/>
        </w:rPr>
        <w:t xml:space="preserve">Health Information Practices. </w:t>
      </w:r>
      <w:r>
        <w:rPr>
          <w:rFonts w:ascii="Arial" w:cs="Arial" w:eastAsia="Arial" w:hAnsi="Arial"/>
          <w:sz w:val="17"/>
          <w:szCs w:val="17"/>
          <w:color w:val="auto"/>
        </w:rPr>
        <w:t>There currently are numerous legislative and regulatory initiatives at both the state and federal levels that address</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privacy concerns. In particular, federal regulations issued under the Health Insurance Portability and Accountability Act of 1996 (“HIPAA”) and the Health Information Technology for Electronic and Clinical Health Act (“HITECH”) require VITAS to protect the privacy and security of patients’ individual health information. HIPAA and HITECH do not automatically preempt applicable state laws and regulations concerning VITAS’ use, disclosure and maintenance of patient health information, which means that VITAS is subject to a complex regulatory scheme that, in many instances, requires VITAS to comply with both federal and state laws and regulations. If we are found to have violated these laws, we could be subject to sanctions, fines, damages, and other civil and criminal penalties. Additionally, the Department of Health and Human Services’ Office of the National Coordinator for the Health Information Technology recently published its final rule regarding interoperability and information blocking, designed to improve coordination within the healthcare system and patients’ access to their electronic health information. The penalty for violating the information blocking regulation may include civil monetary penalties.</w:t>
      </w:r>
    </w:p>
    <w:p>
      <w:pPr>
        <w:spacing w:after="0" w:line="1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i w:val="1"/>
          <w:iCs w:val="1"/>
          <w:color w:val="auto"/>
        </w:rPr>
        <w:t xml:space="preserve">Additional Federal and State Regulation. </w:t>
      </w:r>
      <w:r>
        <w:rPr>
          <w:rFonts w:ascii="Arial" w:cs="Arial" w:eastAsia="Arial" w:hAnsi="Arial"/>
          <w:sz w:val="18"/>
          <w:szCs w:val="18"/>
          <w:color w:val="auto"/>
        </w:rPr>
        <w:t>Federal and state governments also regulate various aspects of the hospice industry. In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VITAS’ operations are subject to federal and state health regulatory laws covering professional services, the dispensing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18"/>
          <w:szCs w:val="18"/>
          <w:color w:val="auto"/>
        </w:rPr>
        <w:t>drugs and certain types of hospice activities. Some of VITAS’ employees are subject to state laws and regulations governing the ethics and professional practice of medicine, respiratory therapy, pharmacy and nursing.</w:t>
      </w:r>
    </w:p>
    <w:p>
      <w:pPr>
        <w:spacing w:after="0" w:line="1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i w:val="1"/>
          <w:iCs w:val="1"/>
          <w:color w:val="auto"/>
        </w:rPr>
        <w:t xml:space="preserve">Compliance with Health Regulatory Laws. </w:t>
      </w:r>
      <w:r>
        <w:rPr>
          <w:rFonts w:ascii="Arial" w:cs="Arial" w:eastAsia="Arial" w:hAnsi="Arial"/>
          <w:sz w:val="18"/>
          <w:szCs w:val="18"/>
          <w:color w:val="auto"/>
        </w:rPr>
        <w:t>VITAS maintains an internal regulatory compliance review program and from time to time retains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counsel for guidance on compliance matters. The Company cannot assure, however, that VITAS’ practices, if reviewed, would be found to be in compliance with applicable health regulatory laws, as such laws ultimately may be interpreted, or that any non-compliance with such laws would not have a material adverse effect, including an effect on its brand reputation, on VITAS.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Roto-Rooter’s operations are subject to various federal, state, and local laws and regulations regarding environmental matters and other aspects of the operation of a sewer and drain cleaning, plumbing, and water restoration services business. For certain other activities, such as septic tank and grease trap pumping, Roto-Rooter is subject to state and local environmental health and sanitation regulations.</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At December 31, 2021, the Company’s accrual for its estimated liability for potential environmental cleanup and related costs arising from the 1991 sale of DuBois Chemicals Inc. (“DuBois”) amounted to $1.7 million. Of this balance, $901,000 is included in other liabilities and $826,000 is included in other current liabilities. The Company is contingently liable for additional DuBois-related environmental cleanup and related costs up to a maximum of $14.9 million. On the basis of a continuing evaluation of the Company’s potential liability, and in consultation with the Company’s environmental attorney, management believes that it is not probable this additional liability will be paid. Accordingly, no provision for this contingent liability has been recorded. Although it is not presently possible to reliably project the timing of payments related to the Company’s potential liability for environmental costs, management believes that any adjustments to its recorded liability will not materially adversely affect its financial position or results of operations.</w:t>
      </w:r>
    </w:p>
    <w:p>
      <w:pPr>
        <w:spacing w:after="0" w:line="14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The Company, to the best of its knowledge, is currently in compliance in all material respects with the environmental laws and regulations affecting its operations. Such environmental laws, regulations and enforcement proceedings have not required the Company to make material increases in or modifications to its capital expenditures and they have not had a material adverse effect on sales or net income. Capital expenditures for the purpose of complying with environmental laws and regulations during 2020 and 2021 with respect to continuing operations are not material in amount; there can be no assurance, however, that presently unforeseen legislative enforcement actions will not require additional expenditures.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Company’s environmental policy is available on its website at </w:t>
      </w:r>
      <w:r>
        <w:rPr>
          <w:rFonts w:ascii="Arial" w:cs="Arial" w:eastAsia="Arial" w:hAnsi="Arial"/>
          <w:sz w:val="16"/>
          <w:szCs w:val="16"/>
          <w:u w:val="single" w:color="auto"/>
          <w:color w:val="auto"/>
        </w:rPr>
        <w:t>ir.chemed.com/corporate-governance/highlights</w:t>
      </w:r>
      <w:r>
        <w:rPr>
          <w:rFonts w:ascii="Arial" w:cs="Arial" w:eastAsia="Arial" w:hAnsi="Arial"/>
          <w:sz w:val="16"/>
          <w:szCs w:val="16"/>
          <w:color w:val="auto"/>
        </w:rPr>
        <w:t xml:space="preserve"> under governance documents.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 Company, including its subsidiaries Roto-Rooter and VITAS, had a total of 14,137 employees.</w:t>
      </w:r>
    </w:p>
    <w:p>
      <w:pPr>
        <w:spacing w:after="0" w:line="17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As Roto-Rooter and VITAS are both service businesses, the Company recognizes and appreciates that our employees are crucial to our success, and that the attraction and retention of top talent, as well as the training and promotion of that talent, must be key focuses of our businesses.</w:t>
      </w:r>
    </w:p>
    <w:p>
      <w:pPr>
        <w:spacing w:after="0" w:line="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The Company’s Human Rights Policy is available on its website at: </w:t>
      </w:r>
      <w:r>
        <w:rPr>
          <w:rFonts w:ascii="Arial" w:cs="Arial" w:eastAsia="Arial" w:hAnsi="Arial"/>
          <w:sz w:val="18"/>
          <w:szCs w:val="18"/>
          <w:u w:val="single" w:color="auto"/>
          <w:color w:val="auto"/>
        </w:rPr>
        <w:t>ir.chemed.com/corporate/governance/highlights</w:t>
      </w:r>
      <w:r>
        <w:rPr>
          <w:rFonts w:ascii="Arial" w:cs="Arial" w:eastAsia="Arial" w:hAnsi="Arial"/>
          <w:sz w:val="18"/>
          <w:szCs w:val="18"/>
          <w:color w:val="auto"/>
        </w:rPr>
        <w:t xml:space="preserve"> under Governance Documents.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Workforce Safety and Training</w:t>
      </w:r>
    </w:p>
    <w:p>
      <w:pPr>
        <w:jc w:val="both"/>
        <w:ind w:firstLine="648"/>
        <w:spacing w:after="0" w:line="225" w:lineRule="auto"/>
        <w:rPr>
          <w:sz w:val="20"/>
          <w:szCs w:val="20"/>
          <w:color w:val="auto"/>
        </w:rPr>
      </w:pPr>
      <w:r>
        <w:rPr>
          <w:rFonts w:ascii="Arial" w:cs="Arial" w:eastAsia="Arial" w:hAnsi="Arial"/>
          <w:sz w:val="18"/>
          <w:szCs w:val="18"/>
          <w:color w:val="auto"/>
        </w:rPr>
        <w:t>The Company’s continued success depends on maintaining a safe and healthy work force. Both Roto-Rooter and VITAS operate businesses where the safety of its employees is a significant focus. During the current pandemic, both businesses have adapted to new safety challenges, including sourcing PPE for employees and ensuring that it is available as needed, implementing new protocols in their offices or in dealing with customers and patients (including expanding telehealth offerings), contracting with third parties to ensure that COVID tests and vaccines are available, and making work-from-home or other different working arrangements available when feasible.</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Roto-Rooter’s safety program is designed to help ensure the safety of our employees and customers. Its “Safety Certified Program” is deployed to all field employees, including supervisors, managers, and sales personnel. The program includes trainings and policies that cover hazard assessment, environmental issues (including lead and asbestos), personal protective equipment, back support injury prevention, fire safety, and infectious disease (specifically including COVID-19 awareness and protocols). Roto-Rooter’s safety training also includes OHSA specific compliance and specialty training depending on the role of the individual, including topics such as electrical safety, torch safety, mainline drain machine safety, driving safety, and other OSHA awareness topics. Roto-Rooter employs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ind w:right="20"/>
        <w:spacing w:after="0" w:line="246" w:lineRule="auto"/>
        <w:rPr>
          <w:sz w:val="20"/>
          <w:szCs w:val="20"/>
          <w:color w:val="auto"/>
        </w:rPr>
      </w:pPr>
      <w:r>
        <w:rPr>
          <w:rFonts w:ascii="Arial" w:cs="Arial" w:eastAsia="Arial" w:hAnsi="Arial"/>
          <w:sz w:val="18"/>
          <w:szCs w:val="18"/>
          <w:color w:val="auto"/>
        </w:rPr>
        <w:t>regional safety managers, who are all OSHA authorized trainers, as well as other employees across its geographies who are authorized to provide OSHA training. Specialized roles, such as excavation and water restoration, receive specialized training.</w:t>
      </w:r>
    </w:p>
    <w:p>
      <w:pPr>
        <w:spacing w:after="0" w:line="1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Roto-Rooter’s training also extends beyond safety and into human resources and other topics, depending on the role of the employee. All managers receive training in human resources topics, ranging from discrimination, to harassment, to workplace violence, leaves of absence, and other relevant matters. Additional training is given in other topics throughout employees’ careers, both on the job and in the classroom, specific to the roles of the employees.</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Similarly, VITAS has developed a safety program designed to help keep its employees and patients healthy and safe. In addition to its standard program, that includes trainings on standard safety issues including OSHA matters and other regulatory safety matters, throughout the COVID-19 pandemic, VITAS has adapted to the changing landscape of the disease and guidance from the CDC and other regulatory agencies, and has put together dozens of trainings for its employees to help deal with continuing to provide safe patient care. These trainings covered topics such as information about the disease itself and transmissibility, hygiene, PPE usage and guidelines, telehealth visits, isolation and quarantining precautions, health checks, and other related areas, and were targeted to employees based on their roles within the Company.</w:t>
      </w:r>
    </w:p>
    <w:p>
      <w:pPr>
        <w:spacing w:after="0" w:line="15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VITAS employs a learning management system to deploy and track training provided to its employees on a regular basis, across a range of topics in addition to the safety ones discussed above, including clinical areas, processes, functional areas, leadership topics, human resources topics (including diversity) and regulatory compliance (including HIPAA). Employees are provided training upon onboarding with the Company, and then periodically as appropriate for their individual roles. VITAS continually reviews and revises its trainings depending on business and regulatory risks, as well as the needs of its employees. For example, VITAS also has developed and made available personal healthcare wellness trainings, to help provide assistance to its employees deal with the stresses faced throughout the pandemic.</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Hiring, Retention, and Compensation</w:t>
      </w:r>
    </w:p>
    <w:p>
      <w:pPr>
        <w:jc w:val="both"/>
        <w:ind w:firstLine="648"/>
        <w:spacing w:after="0" w:line="233" w:lineRule="auto"/>
        <w:rPr>
          <w:sz w:val="20"/>
          <w:szCs w:val="20"/>
          <w:color w:val="auto"/>
        </w:rPr>
      </w:pPr>
      <w:r>
        <w:rPr>
          <w:rFonts w:ascii="Arial" w:cs="Arial" w:eastAsia="Arial" w:hAnsi="Arial"/>
          <w:sz w:val="18"/>
          <w:szCs w:val="18"/>
          <w:color w:val="auto"/>
        </w:rPr>
        <w:t>Both Roto-Rooter and VITAS are service providers, whose employees engage with their customers and patients on a daily basis. For both businesses, hiring and keeping productive employees is an essential function and focus of the business.</w:t>
      </w:r>
    </w:p>
    <w:p>
      <w:pPr>
        <w:spacing w:after="0" w:line="14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Roto-Rooter’s focus on hiring and retaining the right people starts during the recruitment process, where both local and centralized teams are involved in the process. After hire, new employees are given appropriate training for their individual roles, with new hires in many roles being managed by a “Hiring Manager” for their first year of employment. Roto-Rooter instills as key values that part of each employee’s job is to both “Take Care of the Customer” and “Make it a Great Place to Work.” Through this focus, as well as a competitive compensation structure and promote-from-within culture, Roto-Rooter has been able to increase its workforce of technicians across the company during the difficult labor market of the COVID-19 pandemic.</w:t>
      </w:r>
    </w:p>
    <w:p>
      <w:pPr>
        <w:spacing w:after="0" w:line="1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VITAS also focuses on hiring, training and promoting the right talent, and believes that its vision of providing the best available patient and family care is delivered by its committed and compassionate employees. It has an automated recruitment process, designed to increase efficiencies and decrease the time to fill open positions, as well as continue to grow its brand presence in the talent market. It has continued to adapt to the new hiring and retention challenges brought on by the pandemic and current healthcare labor environment on a market-by-market and role-by-role basis.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Diversity</w:t>
      </w:r>
    </w:p>
    <w:p>
      <w:pPr>
        <w:jc w:val="both"/>
        <w:ind w:firstLine="648"/>
        <w:spacing w:after="0" w:line="239" w:lineRule="auto"/>
        <w:rPr>
          <w:sz w:val="20"/>
          <w:szCs w:val="20"/>
          <w:color w:val="auto"/>
        </w:rPr>
      </w:pPr>
      <w:r>
        <w:rPr>
          <w:rFonts w:ascii="Arial" w:cs="Arial" w:eastAsia="Arial" w:hAnsi="Arial"/>
          <w:sz w:val="17"/>
          <w:szCs w:val="17"/>
          <w:color w:val="auto"/>
        </w:rPr>
        <w:t>Maintaining a diverse and inclusive workforce is necessary to continue our success. Diverse perspectives help foster continued innovation. Moreover, as a provider of services, our businesses understand that a diverse and inclusive workforce is necessary to best identify and build relationships with our equally diverse customers and patients. Both Roto-Rooter and VITAS highly value diversity in their workplaces and have established and maintained diverse workforces that are constantly evolving to better resemble the communities and populations that we serve.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treats cybersecurity risk seriously and is focused on maintaining and regularly updating the security of our systems, networks, technologies and data.</w:t>
      </w:r>
    </w:p>
    <w:p>
      <w:pPr>
        <w:spacing w:after="0" w:line="14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number and sophistication of attempts to disrupt or penetrate our systems continues to grow, specifically including the rapid increase on attempts against healthcare companies that was observed in early 2021. To combat the ever-increasing sophistication of cyberattacks, we are continuously working to improve methods for detecting and preventing attacks. We have implemented policies and procedures and developed specific training for our employees, including regular updates and reminders, to help prevent and mitigate any issues that may be caused by any attacks. Further, we regularly engage independent third-party cyber experts to test for vulnerabilities in our environment. We also conduct our own internal simulations to help assess and strengthen our defenses.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ind w:firstLine="648"/>
        <w:spacing w:after="0" w:line="246" w:lineRule="auto"/>
        <w:rPr>
          <w:sz w:val="20"/>
          <w:szCs w:val="20"/>
          <w:color w:val="auto"/>
        </w:rPr>
      </w:pPr>
      <w:r>
        <w:rPr>
          <w:rFonts w:ascii="Arial" w:cs="Arial" w:eastAsia="Arial" w:hAnsi="Arial"/>
          <w:sz w:val="17"/>
          <w:szCs w:val="17"/>
          <w:color w:val="auto"/>
        </w:rPr>
        <w:t>We also acknowledge that cyberattack risk may occur with our third-party technology service providers. High-profile cyberattacks have occurred at healthcare companies, credit bureaus, financial institutions, and other businesses for the purpose of acquiring the confidential information of individuals, including potential customers and patients. We take measures to prevent and mitigate issues caused by any such attacks, including outreach to our providers and other third-parties that we engage with, in order to ascertain any potential downstream implications of known breaches.</w:t>
      </w:r>
    </w:p>
    <w:p>
      <w:pPr>
        <w:spacing w:after="0" w:line="14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To date, the increase in cyberattacks has not resulted in any material disruption of our operations or material harm to our customers or patients. However, while we have significant internal resources, policies and procedures designed to prevent or limit the effect of the possible failure, interruption or security breach of our information systems, there can be no assurance that any such failure, interruption or security breach will not occur in the future, or if they do occur, that they will be adequately addressed.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management and the Audit Committee of our Board of Directors are regularly briefed on cybersecurity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completed in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2020, Roto-Rooter completed the acquisition of a Roto-Rooter franchise and the related assets in Bloomington, IN for $2.2 million in cash.</w:t>
      </w:r>
    </w:p>
    <w:p>
      <w:pPr>
        <w:spacing w:after="0" w:line="14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2019, Roto-Rooter made two separate acquisitions of territories from former franchisees. The territories purchased are primarily located in the southwestern United States, including Los Angeles, Oakland, Dallas, and Phoenix. These acquisitions were part of Roto-Rooter’s ongoing strategy of acquiring franchises to boost productivity, market share and profitability.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Company’s Internet address is www.chemed.com. The Company’s Annual Report on Form 10-K, quarterly reports on Form 10-Q, and current reports on Form 8-K, and amendments to those reports filed or furnished pursuant to Section 13(a) or 15(d) of the Exchange Act are electronically available through the SEC (http://www.sec.gov) or the Company’s website as soon as reasonably practicable after such reports are filed with, or furnished to, the SEC.</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Annual reports, press releases, Board Committee charters, Code of Ethics, Corporate governance guidelines and other printed materials may be obtained from the website or from Chemed Investor Relations without charge by writing to, 255 East Fifth Street, Suite 2600, Cincinnati, Ohio 45202. The Company intends to satisfy the disclosure requirement under Item 5.05 of Form 8-K by posting such information on its website, in the event of any such amendment or waiver.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You should carefully consider the risks described below, together with all of the information included in this Annual Report on Form 10-K, in evaluating us and our Capital Stock. They are not the only ones facing the Company. Other risks and uncertainties not currently known to us or that we currently deem to be immaterial may also materially and adversely affect our business, financial condition, or results of operations.</w:t>
      </w:r>
    </w:p>
    <w:p>
      <w:pPr>
        <w:spacing w:after="0" w:line="138" w:lineRule="exact"/>
        <w:rPr>
          <w:sz w:val="20"/>
          <w:szCs w:val="20"/>
          <w:color w:val="auto"/>
        </w:rPr>
      </w:pPr>
    </w:p>
    <w:p>
      <w:pPr>
        <w:ind w:right="180" w:firstLine="648"/>
        <w:spacing w:after="0" w:line="231" w:lineRule="auto"/>
        <w:rPr>
          <w:sz w:val="20"/>
          <w:szCs w:val="20"/>
          <w:color w:val="auto"/>
        </w:rPr>
      </w:pPr>
      <w:r>
        <w:rPr>
          <w:rFonts w:ascii="Arial" w:cs="Arial" w:eastAsia="Arial" w:hAnsi="Arial"/>
          <w:sz w:val="18"/>
          <w:szCs w:val="18"/>
          <w:color w:val="auto"/>
        </w:rPr>
        <w:t>We continue to closely monitor the impact of the COVID-19 pandemic on all aspects of our business and geographies, including how it will impact our customers, team members, suppliers, vendors, business partners and distribution channels. The COVID-19 pandemic has created significant volatility, uncertainty and economic disruption, which has and will continue to adversely affect our business operations and may materially and adversely affect our results of operations, cash flows and financial position.</w:t>
      </w:r>
    </w:p>
    <w:p>
      <w:pPr>
        <w:spacing w:after="0" w:line="14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For additional information regarding specific risk factors related to COVID-19 pandemic, see Management’s Discussion and Analysis of Financial Condition and Results of Operation under Part I., Item 2 of this Annual Report on Form-10K.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ROTO-ROOTER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from numerous, fragmented competitors. If we do not compete effectively, our business may suffer.</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face intense competition from numerous competitors. The sewer, drain and pipe cleaning, excavation, plumbing repair and water restoration businesses are highly fragmented, with the bulk of the competitors consisting of local and regional entities. We compete primarily on the basis of advertising, range of services provided, name recognition, availability of emergency service, speed and quality of customer service, service guarantees and pricing. Our competitors may succeed in developing new or enhanced products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jc w:val="both"/>
        <w:ind w:right="20"/>
        <w:spacing w:after="0" w:line="275" w:lineRule="auto"/>
        <w:rPr>
          <w:sz w:val="20"/>
          <w:szCs w:val="20"/>
          <w:color w:val="auto"/>
        </w:rPr>
      </w:pPr>
      <w:r>
        <w:rPr>
          <w:rFonts w:ascii="Arial" w:cs="Arial" w:eastAsia="Arial" w:hAnsi="Arial"/>
          <w:sz w:val="17"/>
          <w:szCs w:val="17"/>
          <w:color w:val="auto"/>
        </w:rPr>
        <w:t>and services more successful than ours and in marketing and selling existing and new products and services better than we do. In addition, new competitors may emerge. We cannot make any assurances that we will continue to be able to compete successfully with any of these companies.</w:t>
      </w:r>
    </w:p>
    <w:p>
      <w:pPr>
        <w:spacing w:after="0" w:line="11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Our operations are subject to numerous laws and regulations, exposing us to potential claims and compliance costs that could adversely affect our business.</w:t>
      </w:r>
    </w:p>
    <w:p>
      <w:pPr>
        <w:spacing w:after="0" w:line="1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We are subject to federal, state and local laws and regulations relating to franchising, insurance and other aspects of our business. These are discussed in greater detail under “Government Regulations” in the Description of Business section hereof. If we fail to comply with existing or future laws and regulations, we may be subject to governmental or judicial fines and sanctions. Our franchising activities are subject to various federal and state franchising laws and regulations, including the rules and regulations of the FTC regarding the offering or sale of franchises. These rules and regulations require us to provide all of our prospective franchisees with specific information regarding us and our franchise program in the form of a detailed franchise offering circular. In addition, a number of states require us to register our franchise offering prior to offering or selling franchises in such states. Various state laws also provide for certain rights in favor of franchisees, including (i) limitations on the franchisor’s ability to terminate a franchise except for good cause, (ii) restrictions on the franchisor’s ability to deny renewal of a franchise, (iii) circumstances under which the franchisor may be required to purchase certain inventory of franchisees when a franchise is terminated or not renewed in violation of such laws and (iv) provisions relating to arbitration. The ability to engage in the plumbing repair business is also subject to certain limitations and restrictions imposed by the state and local licensing laws and regulations. We cannot predict what legislation or regulations affecting our business will be enacted in the future, how existing or future laws or regulations will be enforced, administered and interpreted, or the amount of future expenditures that may be required to comply with these laws or regulations. Compliance costs associated with governmental regulations could have a material adverse effect on our business, financial condition and results of operations.</w:t>
      </w:r>
    </w:p>
    <w:p>
      <w:pPr>
        <w:spacing w:after="0" w:line="15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Roto-Rooter’s loss of key management personnel or its inability to hire and retain skilled employees could adversely affect its business, financial condition and results of operations.</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Roto-Rooter’s future success significantly depends upon the continued service of its senior management personnel. The loss of one or more of Roto-Rooter’s key senior management personnel or its inability to hire and retain new skilled employees could negatively impact its ability to maintain or increase customer calls and jobs, a key aspect of its growth strategy, and could adversely affect its future operating results.</w:t>
      </w:r>
    </w:p>
    <w:p>
      <w:pPr>
        <w:spacing w:after="0" w:line="13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Competition for skilled employees, particularly licensed plumbers, is intense, and the process of locating and recruiting skilled employees with the combination of qualifications and attributes required to adequately perform plumbing duties can be difficult and lengthy. We cannot assure you that Roto-Rooter will be successful in attracting, retaining or training highly skilled personnel. Roto-Rooter’s business could be disrupted and its growth and profitability negatively impacted if it is unable to attract and retain skilled employees.</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Additionally, throughout the COVID-19 pandemic, rules and regulations have been promulgated that could affect the ability for Roto-Rooter to hire new or retain current employees, particularly if those employees have decided not to get vaccinated against COVID-19. In the event that new rules or regulations are promulgated that regulate the ability of employees to continue to be employed in the event that they are not vaccinated, or be employed only under certain testing or other restrictions, Roto-Rooter could lose a significant percentage of its workforce, particularly in the event that the terms of the rules or regulations would treat Roto-Rooter differently than its competitors. Such a loss could have a material adverse effect on Roto-Rooter’s ability to service its customers and on its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Our information technology systems hold sensitive customer information in the ordinary course of business, including names, addresses, and partial credit card information. Additionally, we utilize those same systems to perform our day-to-day activities, such as receiving customer calls, dispatching technicians to jobs, and maintaining an accurate record of all transactions. We have not experienced any known system/data breaches on our information technology systems that compromised customer data or the company’s proprietary data. We maintain our information technology systems with safeguard protection against cyber-attacks, including intrusion detection and protection services, firewalls, and virus detection software. Additionally, every month, we test our information technology systems using cyber-scanning software and other methods to learn how a successful system/data breach may occur. If a deficiency is detected, our IT staff will log and remediate the deficiency prescribed by the vendor or manufacturer. Roto-Rooter has developed and tested a response plan in the event of a successful system/data breach and maintains commercial insurance related to cyber-security. Additionally, we obtain internal control reports from key vendors that maintain company data or process company transactions on a yearly basis. We review these reports to detect any potential cybersecurity issues. However, these safeguards do not ensure that a significant system/data breach may occur. Due to the pandemic, certain roles have been conducted remotely, increasing the role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both"/>
        <w:spacing w:after="0" w:line="246" w:lineRule="auto"/>
        <w:rPr>
          <w:sz w:val="20"/>
          <w:szCs w:val="20"/>
          <w:color w:val="auto"/>
        </w:rPr>
      </w:pPr>
      <w:r>
        <w:rPr>
          <w:rFonts w:ascii="Arial" w:cs="Arial" w:eastAsia="Arial" w:hAnsi="Arial"/>
          <w:sz w:val="18"/>
          <w:szCs w:val="18"/>
          <w:color w:val="auto"/>
        </w:rPr>
        <w:t>importance of our information technology and security systems. A successful attack on our information technology systems could significantly affect the business, including liability for compromised customer information and business interruption.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Roto-Rooter’s success is highly dependent on its brand reputation</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Roto-Rooter’s national reputation and brand image for performing necessary, high quality services in a timely manner is critical to Roto-Rooter’s continued success. Adverse publicity, litigation or on-line negative reviews focused on the Roto-Rooter brand could negatively impact Roto-Rooter’s national reputation resulting in decreased future demand for Roto-Rooter branded services. Roto-Rooter maintains a reputation management risk program, however, a loss of brand reputation at Roto-Rooter could adversely affect consumer willingness to use our service and thus, adversely affect our future operating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VITAS</w:t>
      </w:r>
    </w:p>
    <w:p>
      <w:pPr>
        <w:spacing w:after="0" w:line="17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b w:val="1"/>
          <w:bCs w:val="1"/>
          <w:color w:val="auto"/>
        </w:rPr>
        <w:t>VITAS is highly dependent on payments from Medicare and Medicaid. If there are changes in the rate or methods governing these payments, VITAS’ net patient service revenue and profits could materially decline.</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excess of 90% of VITAS’ net patient service revenue consists of payments from the Medicare and Medicaid programs. Such payments are made primarily on a “per diem” basis, subject to annual reimbursement caps. Because VITAS receives a per diem fee to provide eligible services to all patients, VITAS’ profitability is largely dependent upon its ability to manage the costs of providing hospice services to patients. Increases in operating costs, such as labor and supply costs that are subject to inflation, without a compensating increase in Medicare and Medicaid rates, could have a material adverse effect on VITAS’ business in the future. Additionally, regulators are increasing scrutiny of claims, including through the new TPE program, which may require additional resources to respond to audits, and which may cause additional delays or denials in receiving payments. Medicare and Medicaid currently adjust the various hospice payment rates annually based primarily on the increase or decrease of the hospital wage index basket, regionally adjusted. However, the increases may be less than actual inflation. VITAS’ profitability could be negatively impacted if this adjustment were eliminated or reduced, or if VITAS’ costs of providing hospice services increased more than the annual adjustment. In addition, cost pressures resulting from shorter patient lengths of stay and the use of more expensive forms of palliative care, including drugs and drug delivery systems, could negatively impact VITAS’ profitability. Many payors are increasing pressure to control health care costs. The U.S. federal budget remains in flux, which could, among other things, cut Medicare payments to providers. The Medicare program is frequently mentioned as a target for spending cuts and within the Medicare program the hospice benefit is often specifically targeted for cuts and a lowering of the Medicare Caps. The full impact on our business of any future cuts in Medicare (including lowering of the Medicare Caps) or other programs is uncertain. In addition, both public and private payors are increasing pressure to decrease, or limit increases in, reimbursement rates for health care services. VITAS’ levels of revenue and profitability will be subject to the effect of possible reductions in coverage or payment rates by third-party payors, including payment rates from Medicare and Medicaid.</w:t>
      </w:r>
    </w:p>
    <w:p>
      <w:pPr>
        <w:spacing w:after="0" w:line="14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Each state that maintains a Medicaid program has the option to provide reimbursement for hospice services at reimbursement rates generally required to be at least as much as Medicare rates. All states in which VITAS operates cover Medicaid hospice services; however, we cannot assure you that the states in which VITAS is presently operating or states into which VITAS could expand operations will continue to cover Medicaid hospice services. In addition, the Medicare and Medicaid programs are subject to statutory and regulatory changes, retroactive and prospective rate and payment adjustments, administrative rulings, freezes and funding reductions, all of which may adversely affect the level of program payments and could have a material adverse effect on VITAS’ business. We cannot assure that Medicare and/or Medicaid payments to hospices will not decrease. Reductions in amounts paid by government programs for services or changes in methods or regulations governing payments could cause VITAS’ net patient service revenue and profits to materially decline.</w:t>
      </w:r>
    </w:p>
    <w:p>
      <w:pPr>
        <w:spacing w:after="0" w:line="14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b w:val="1"/>
          <w:bCs w:val="1"/>
          <w:color w:val="auto"/>
        </w:rPr>
        <w:t>15% to 20% of VITAS’ days of care are provided to patients who reside in nursing homes. Changes in the laws and regulations regarding payments for hospice services and “room and board” provided to VITAS’ hospice patients residing in nursing homes could reduce its net patient service revenue and profitability.</w:t>
      </w:r>
    </w:p>
    <w:p>
      <w:pPr>
        <w:spacing w:after="0" w:line="14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For VITAS’ hospice patients receiving nursing home care under certain state Medicaid programs who elect hospice care under Medicare and Medicaid, the state generally must pay VITAS, in addition to the applicable Medicare or Medicaid hospice per diem rate, an amount equal to at least 95% of the Medicaid per diem nursing home rate for “room and board” furnished to the patient by the nursing home. VITAS contracts with various nursing homes for the nursing homes’ provision of certain “room and board” services that the nursing homes would otherwise provide Medicaid nursing home patients. VITAS bills and collects from the applicable state Medicaid program an amount equal to approximately 95% of the amount that would otherwise have been paid directly to the nursing home under the state’s Medicaid plan. Under VITAS’ standard nursing home contracts, it pays the nursing home for these “room and board” services at approximately 100% of the Medicaid per diem nursing home rate.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ind w:firstLine="648"/>
        <w:spacing w:after="0" w:line="235" w:lineRule="auto"/>
        <w:rPr>
          <w:sz w:val="20"/>
          <w:szCs w:val="20"/>
          <w:color w:val="auto"/>
        </w:rPr>
      </w:pPr>
      <w:r>
        <w:rPr>
          <w:rFonts w:ascii="Arial" w:cs="Arial" w:eastAsia="Arial" w:hAnsi="Arial"/>
          <w:sz w:val="18"/>
          <w:szCs w:val="18"/>
          <w:color w:val="auto"/>
        </w:rPr>
        <w:t>The reduction or elimination of Medicare and Medicaid payments for hospice patients residing in nursing homes would reduce VITAS’ net patient service revenue and profitability. In addition, changes in the way nursing homes are reimbursed for “room and board” services provided to hospice patients residing in nursing homes could affect VITAS’ ability to serve patients in nursing homes.</w:t>
      </w:r>
    </w:p>
    <w:p>
      <w:pPr>
        <w:spacing w:after="0" w:line="144"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b w:val="1"/>
          <w:bCs w:val="1"/>
          <w:color w:val="auto"/>
        </w:rPr>
        <w:t>If VITAS is unable to maintain relationships with existing patient referral sources or to establish new referral sources, VITAS’ growth and profitability could be adversely affected.</w:t>
      </w:r>
    </w:p>
    <w:p>
      <w:pPr>
        <w:spacing w:after="0" w:line="14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VITAS’ success is heavily dependent on referrals from physicians, long-term care facilities, hospitals and other institutional health care providers, managed care companies, insurance companies and other patient referral sources in the communities that its hospice locations serve, as well as on its ability to maintain good relations with these referral sources. VITAS’ referral sources may refer their patients to other hospice care providers or not to a hospice provider at all. Additionally, because of the pandemic, VITAS has experienced significant changes in referral patterns and sources. VITAS’ growth and profitability depend significantly on its ability to establish and maintain close working relationships with these patient referral sources and to increase awareness and acceptance of hospice care by its referral sources and their patients. We cannot assure that VITAS will be able to maintain its existing relationships or that it will be able to develop and maintain new relationships in existing or new markets. Moreover, if pandemic-related shifts to referrals continue, it could materially adversely affect the business. VITAS’ loss of existing relationships or its failure to develop new relationships could adversely affect its ability to expand or maintain its operations and operate profitably. Moreover, we cannot assure you that awareness or acceptance of hospice care will increase or remain at current levels.</w:t>
      </w:r>
    </w:p>
    <w:p>
      <w:pPr>
        <w:spacing w:after="0" w:line="14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color w:val="auto"/>
        </w:rPr>
        <w:t>VITAS operates in an industry that is subject to extensive government regulation and claims reviews, and changes in law and regulatory interpretations could reduce its net patient service revenue and profitability and adversely affect its financial condition and results of operations.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healthcare industry is subject to extensive federal, state and local laws, rules and regulations relating to, among others: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Payment for services;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Conduct of operations, including fraud and abuse, anti-kickback prohibitions, self-referral prohibitions and false claims;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Privacy and security of medical records;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Employment practices; and</w:t>
      </w:r>
    </w:p>
    <w:p>
      <w:pPr>
        <w:spacing w:after="0" w:line="185" w:lineRule="exact"/>
        <w:rPr>
          <w:sz w:val="20"/>
          <w:szCs w:val="20"/>
          <w:color w:val="auto"/>
        </w:rPr>
      </w:pPr>
    </w:p>
    <w:p>
      <w:pPr>
        <w:ind w:left="1300"/>
        <w:spacing w:after="0" w:line="261" w:lineRule="auto"/>
        <w:rPr>
          <w:sz w:val="20"/>
          <w:szCs w:val="20"/>
          <w:color w:val="auto"/>
        </w:rPr>
      </w:pPr>
      <w:r>
        <w:rPr>
          <w:rFonts w:ascii="Arial" w:cs="Arial" w:eastAsia="Arial" w:hAnsi="Arial"/>
          <w:sz w:val="18"/>
          <w:szCs w:val="18"/>
          <w:color w:val="auto"/>
        </w:rPr>
        <w:t>Various state approval requirements, such as facility and professional licensure, certificate of need, compliance surveys and other certification or recertification requirements.</w:t>
      </w:r>
    </w:p>
    <w:p>
      <w:pPr>
        <w:spacing w:after="0" w:line="13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Changes in these laws, rules and regulations or their interpretations or methods of enforcement could reduce VITAS’ net patient service revenue and profitability, or increase VITAS’ liabilities, cost of compliance, or legal and other costs in defending any claims. VITAS’ ability to comply with such regulations is a key factor in determining the success of its business. See the “Government Regulations” section of this 10-K for a greater description of these matters.</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VITAS maintains an internal regulatory compliance review program and from time to time retains regulatory counsel for guidance on compliance matters. We cannot assure you, however, that VITAS’ practices, if reviewed, would be found to be in compliance with applicable health regulatory laws, as such laws ultimately may be interpreted, or that any non-compliance with such laws would not have a material adverse effect on VITAS.</w:t>
      </w:r>
    </w:p>
    <w:p>
      <w:pPr>
        <w:spacing w:after="0" w:line="117"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b w:val="1"/>
          <w:bCs w:val="1"/>
          <w:color w:val="auto"/>
        </w:rPr>
        <w:t>Federal and state legislative and regulatory initiatives could require VITAS to expend substantial sums on acquiring, implementing and supporting new information systems, which could negatively impact its profitability and cash flows.</w:t>
      </w:r>
    </w:p>
    <w:p>
      <w:pPr>
        <w:spacing w:after="0" w:line="14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There are currently numerous legislative and regulatory initiatives at both the state and federal levels that address patient privacy concerns. We cannot predict the total financial or other impact of the regulations on VITAS’ operations. In addition, although VITAS’ management believes it is in compliance with the requirement of patient privacy regulations, we cannot assure you that VITAS will not be found to have violated state and federal laws, rules or guidelines surrounding patient privacy. Compliance with current and future HIPAA and HITECH requirements or any other federal or state privacy initiatives could require VITAS to make substantial investments, which could negatively impact its profitability and cash flows.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VITAS’ growth strategies may not be successful, which could adversely affect its business.</w:t>
      </w:r>
    </w:p>
    <w:p>
      <w:pPr>
        <w:spacing w:after="0" w:line="175"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A significant element of VITAS’ growth strategy is expected to include expansion of its business in new and existing markets. This aspect of VITAS’ growth strategy may not be successful, which could adversely impact its growth and profitability. We cannot assure you that VITAS will be able to:</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Identify markets that meet its selection criteria for new hospice locations;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Hire and retain qualified management teams to operate each of its new hospice locations;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Manage a large and geographically diverse group of hospice locations;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Become Medicare and Medicaid certified in new markets;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Generate sufficient hospice admissions to operate profitably in these new markets;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Compete effectively with existing hospices in new markets; or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Obtain state licensure and/or a certificate of need from appropriate state agencies in new markets.</w:t>
      </w:r>
    </w:p>
    <w:p>
      <w:pPr>
        <w:spacing w:after="0" w:line="18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b w:val="1"/>
          <w:bCs w:val="1"/>
          <w:color w:val="auto"/>
        </w:rPr>
        <w:t>VITAS’ loss of key management personnel or its inability to hire and retain skilled employees could adversely affect its business, financial condition and results of operations.</w:t>
      </w:r>
    </w:p>
    <w:p>
      <w:pPr>
        <w:spacing w:after="0" w:line="1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VITAS’ future success significantly depends upon the continued service of its senior management personnel. The loss of one or more of VITAS’ key senior management personnel or its inability to hire and retain new skilled employees could negatively impact VITAS’ ability to maintain or increase patient referrals, a key aspect of its growth strategy, and could adversely affect its future operating results.</w:t>
      </w:r>
    </w:p>
    <w:p>
      <w:pPr>
        <w:spacing w:after="0" w:line="1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Competition for skilled employees is intense, and the process of locating and recruiting skilled employees with the combination of qualifications and attributes required to care effectively for terminally ill patients and their families can be difficult and lengthy. We cannot assure you that VITAS will be successful in attracting, retaining or training highly skilled nursing, management, community education, operations, admissions and other personnel. VITAS’ business could be disrupted and its growth and profitability negatively impacted if it is unable to attract and retain skilled employees.</w:t>
      </w:r>
    </w:p>
    <w:p>
      <w:pPr>
        <w:spacing w:after="0" w:line="12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color w:val="auto"/>
        </w:rPr>
        <w:t>A nationwide shortage of qualified nurses and aides could adversely affect VITAS’ profitability, growth and ability to continue to provide quality, responsive hospice services to its patients as nursing and health aides’ wages and benefits increase.</w:t>
      </w:r>
    </w:p>
    <w:p>
      <w:pPr>
        <w:spacing w:after="0" w:line="140" w:lineRule="exact"/>
        <w:rPr>
          <w:sz w:val="20"/>
          <w:szCs w:val="20"/>
          <w:color w:val="auto"/>
        </w:rPr>
      </w:pPr>
    </w:p>
    <w:p>
      <w:pPr>
        <w:ind w:right="20" w:firstLine="648"/>
        <w:spacing w:after="0" w:line="256" w:lineRule="auto"/>
        <w:rPr>
          <w:sz w:val="20"/>
          <w:szCs w:val="20"/>
          <w:color w:val="auto"/>
        </w:rPr>
      </w:pPr>
      <w:r>
        <w:rPr>
          <w:rFonts w:ascii="Arial" w:cs="Arial" w:eastAsia="Arial" w:hAnsi="Arial"/>
          <w:sz w:val="16"/>
          <w:szCs w:val="16"/>
          <w:color w:val="auto"/>
        </w:rPr>
        <w:t>A significant portion of VITAS’ workforce is licensed nurses. VITAS depends on qualified nurses to provide quality, responsive hospice services to its patients. The current nationwide shortage of qualified nurses impacts some of the markets in which VITAS provides hospice services. In response to this shortage, VITAS has adjusted its wages and benefits to recruit and retain nurses and to engage contract nurses. Similarly, due to the pandemic, there is currently a shortage of home health aides, who provide many of the hospice services provided by VITAS. VITAS has also adjusted its wages and benefits to recruit and retain home health and other aides. VITAS’ inability to attract and retain qualified nurses and aides could adversely affect its ability to provide quality, responsive hospice services to its patients and its ability to increase or maintain patient census in those markets. Increases in the wages and benefits required to attract and retain qualified nurses or an increase in reliance on contract nurses could negatively impact profitability.</w:t>
      </w:r>
    </w:p>
    <w:p>
      <w:pPr>
        <w:spacing w:after="0" w:line="13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color w:val="auto"/>
        </w:rPr>
        <w:t>VITAS may not be able to compete successfully against other hospice providers, and competitive pressures may limit its ability to maintain or increase its market position, which could adversely affect its profitability, financial condition and cash flows.</w:t>
      </w:r>
    </w:p>
    <w:p>
      <w:pPr>
        <w:spacing w:after="0" w:line="117"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Hospice care in the United States is highly competitive. In many areas in which VITAS’ hospices are located, they compete with a large number of organizations, including:</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Community-based hospice providers;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National and regional companies;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Hospital-based hospice and palliative care programs;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Physician groups;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Nursing homes;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Home health agencies;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Infusion therapy companies; and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Nursing agencies.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Various health care companies have diversified into the hospice industry and there is an increasing consolidation across hospice industry. Other companies, including hospitals and health care organizations that are not currently providing hospice care, may enter the markets VITAS serves and expand the variety of services offered to include hospice care. We cannot assure you that VITAS will not encounter increased competition in the future that could limit its ability to maintain or increase its market position, including competition from parties in a position to impact referrals to VITAS. Such increased competition could have a material adverse effect on VITAS’ business, financial condition and results of operations.</w:t>
      </w:r>
    </w:p>
    <w:p>
      <w:pPr>
        <w:spacing w:after="0" w:line="144"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b w:val="1"/>
          <w:bCs w:val="1"/>
          <w:color w:val="auto"/>
        </w:rPr>
        <w:t>If VITAS fails to comply with the terms of the CIA, it could be subject to substantial monetary penalties or suspension or exclusion from participation in the Medicare and Medicaid programs.</w:t>
      </w:r>
    </w:p>
    <w:p>
      <w:pPr>
        <w:spacing w:after="0" w:line="14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VITAS and certain of its subsidiaries entered into a CIA with the Office of the OIG on October 30, 2017 in connection with the settlement of a False Claims Act case. The CIA formalizes various aspects of VITAS’ already existing compliance program and contains requirements designed to document compliance with federal healthcare program requirements. It has a term of five years during which it imposes monitoring, reporting, certification, oversight, screening and training obligations, certain of which had previously been implemented by VITAS. It also required VITAS to engage an Independent Review Organization to perform auditing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rates or methods of payment for VITAS’ services could adversely affect its revenues and profits.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Managed care organizations have grown substantially in terms of the percentage of the population they cover and their control over an increasing portion of the health care economy. Managed care organizations have continued to consolidate to enhance their ability to influence the delivery of health care services and to exert pressure to control health care costs. VITAS has a number of contractual arrangements with managed care organizations and other similar parties.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VITAS provides hospice care to many Medicare beneficiaries who have elected Medicare managed care. Under such contracts between HMOs and the federal Department of Health and Human Services, the Medicare payments for hospice services are excluded from the per-member, per-month payment from Medicare to HMOs and instead are paid directly by Medicare to the hospices. As a result, VITAS’ payments for Medicare beneficiaries enrolled in Medicare risk HMOs are processed in the same way with the same rates as other Medicare beneficiaries. We cannot assure, however, that payment for hospice services will continue to be excluded from HMO payment under Medicare risk contracts and similar Medicare managed care plans or that if not excluded, managed care organizations or other large third-party payors would not use their power to influence and exert pressure on health care providers to reduce costs in a manner that could have a material adverse effect on VITAS’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claims may have an adverse effect on VITAS, and its insurance coverage may be inadequate.</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Participants in the hospice industry are subject to lawsuits alleging negligence, professional liability, wage and hour or other similar legal theories, many of which involve large claims and significant defense costs. Additionally, the pandemic may lead to different claims or a higher volume of claims than we typically face. We are also subject to the risk of lawsuits under the False Claims Act and comparable state laws for allegedly submitting fraudulent bills for services to the Medicare and Medicaid programs and other federal and state healthcare programs. These lawsuits, which may be initiated by “whistleblowers”, subpoenas or Civil Investigative Demands can involve significant monetary damages, fines, attorneys’ fees and the award of bounties to private </w:t>
      </w:r>
      <w:r>
        <w:rPr>
          <w:rFonts w:ascii="Arial" w:cs="Arial" w:eastAsia="Arial" w:hAnsi="Arial"/>
          <w:sz w:val="16"/>
          <w:szCs w:val="16"/>
          <w:u w:val="single" w:color="auto"/>
          <w:color w:val="auto"/>
        </w:rPr>
        <w:t>qui tam</w:t>
      </w:r>
      <w:r>
        <w:rPr>
          <w:rFonts w:ascii="Arial" w:cs="Arial" w:eastAsia="Arial" w:hAnsi="Arial"/>
          <w:sz w:val="16"/>
          <w:szCs w:val="16"/>
          <w:color w:val="auto"/>
        </w:rPr>
        <w:t xml:space="preserve"> plaintiffs. From time to time, VITAS is subject to such claims and other types of lawsuits. See the description below under Legal Proceedings in the Notes to the Consolidated Financial Statements. The ultimate liability for claims, if any, could have a material adverse effect on its financial condition or operating results. Although VITAS currently maintains liability insurance intended to cover certain claims, we cannot assure you that the coverage limits of such insurance policies will be adequate or that all such claims will be covered by the insurance. In addition, VITAS’ insurance policies must be renewed annually and may be subject to cancellation during the policy period. While VITAS has been able to obtain liability insurance in the past, such insurance varies in cost, and may not be available in the future on terms acceptable to VITAS, if at all.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jc w:val="both"/>
        <w:ind w:firstLine="648"/>
        <w:spacing w:after="0" w:line="235" w:lineRule="auto"/>
        <w:rPr>
          <w:sz w:val="20"/>
          <w:szCs w:val="20"/>
          <w:color w:val="auto"/>
        </w:rPr>
      </w:pPr>
      <w:r>
        <w:rPr>
          <w:rFonts w:ascii="Arial" w:cs="Arial" w:eastAsia="Arial" w:hAnsi="Arial"/>
          <w:sz w:val="18"/>
          <w:szCs w:val="18"/>
          <w:color w:val="auto"/>
        </w:rPr>
        <w:t>A successful claim in excess of the insurance coverage could have a material adverse effect on VITAS. Claims, regardless of their merit or eventual outcome, also may have a material adverse effect on VITAS’ business and reputation due to the costs of litigation, diversion of management’s time and related publicity.</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VITAS procures professional liability coverage on a claims-made basis. The insurance contracts specify that coverage is available only during the term of each insurance contract. VITAS’ management intends to renew or replace the existing claims-made policy annually but such coverage is difficult to obtain, may be subject to cancellation and may be written by carriers that are unable, or unwilling to pay claims. Additionally, some risks and liabilities, including claims for punitive damages, are not covered by insurance.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In the normal course of business, our information technology systems hold sensitive patient information including patient demographic data, eligibility for various medical plans including Medicare and Medicaid and protected health information. Additionally, we utilize those same systems to perform our day-to-day activities, such as receiving referrals, assigning medical teams to patients, documenting medical information and maintaining an accurate record of all transactions. Recently healthcare organizations have been the focus of increased cybersecurity attacks. We have not experienced any known attacks on our information technology systems that have compromised patient data or the Company’s proprietary data. We maintain our information technology systems with safeguard protection against cyber-attacks including active intrusion protection, firewalls and virus detection software. As discussed previously, we are subject to and comply with HIPAA and HITECH regulations. We have developed and tested a response plan in the event of a successful attack and we maintain commercial insurance related to a cyber-attack. Additionally, we obtain internal control reports from key vendors that maintain company data or process company transactions on a yearly basis. We review these reports to detect any potential cybersecurity issues. However, these safeguards do not ensure that a significant cyber-attack could not occur. Increases in working from home and the provision of telehealth services due to the pandemic have significantly increased our usage of information technology systems and heightened the need for security of those systems. A successful attack on our information technology systems could have significant consequences to the business including liability for compromised patient information and business interruption.</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are regularly the target of attempted cyber and other security threats and must continuously monitor and develop our information technology networks and infrastructure to prevent, detect, address and mitigate the risk of unauthorized access, misuse, computer viruses and other events that could have a security impact. Insider or employee cyber and security threats are increasingly a concern for all large companies, including 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VITAS’ success is highly dependent on its brand reputation</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VITAS’ reputation for performing quality routine and high acuity patient hospice care within the regulations mandated by Medicare, Medicaid and commercial payors is critical to our success. Failure to provide quality patient care within the regulations mandated by our third-party payors, or the perception of inappropriate care resulting in adverse publicity, litigation or a campaign of negative on-line reviews are some of the factors that could negatively impact VITAS’ national reputation. VITAS maintains a reputation management risk program however, a loss of brand reputation at VITAS could adversely affect referral sources’ willingness to refer our service and thus, adversely affect our future operating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VITAS’ headquarters and a significant portion of its operations are in south Florida</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occurrence of a natural disaster in any region that VITAS has significant operations could have a negative impact on the business. VITAS’ headquarters are located in Miami, Florida. In addition, two of our largest programs and an office complex are in south Florida. The location of our headquarters and these large programs increases our exposure to hurricanes. A major hurricane in south Florida could impede our ability to bill for our services, operate our businesses and serve our patients in the affected area. VITAS maintains a disaster recovery program to mitigate this risk; however, natural disasters could have an adverse effect on our future operating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7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The agreements and instruments governing borrowing capacity contain restrictions and limitations that could significantly impact our ability to operate our business and adversely affect the price of our Capital Stock.</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The operating and financial restrictions and covenants in our instruments of indebtedness restrict our ability to incur additional debt; issue and sell capital stock of subsidiaries; sell assets; engage in transactions with affiliates; restrict distributions from subsidiaries; incur liens; engage in business other than permitted businesses; engage in sale/leaseback transactions; engage in mergers or consolidations; make capital expenditures; make guarantees; make investments and acquisitions; enter into operating leases; hedge interest rates; and prepay other debt.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jc w:val="both"/>
        <w:ind w:firstLine="648"/>
        <w:spacing w:after="0" w:line="227" w:lineRule="auto"/>
        <w:rPr>
          <w:sz w:val="20"/>
          <w:szCs w:val="20"/>
          <w:color w:val="auto"/>
        </w:rPr>
      </w:pPr>
      <w:r>
        <w:rPr>
          <w:rFonts w:ascii="Arial" w:cs="Arial" w:eastAsia="Arial" w:hAnsi="Arial"/>
          <w:sz w:val="18"/>
          <w:szCs w:val="18"/>
          <w:color w:val="auto"/>
        </w:rPr>
        <w:t>Moreover, if we are unable to meet the terms of the financial covenants or if we breach any of these covenants, a default could result under one or more of these agreements. A default, if not waived by our lenders, could accelerate repayment of our outstanding indebtedness. If acceleration occurs, we may not be able to repay our debt and it is unlikely that we would be able to borrow sufficient additional funds to refinance such debt on acceptable terms. In the event of any default under our credit facilities, the lenders thereunder could elect to declare all outstanding borrowings, together with accrued and unpaid interest and other fees, to be due and payable, and to require us to apply all of our available cash to repay these borrowings, any of which would be an event of default.</w:t>
      </w:r>
    </w:p>
    <w:p>
      <w:pPr>
        <w:spacing w:after="0" w:line="144"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b w:val="1"/>
          <w:bCs w:val="1"/>
          <w:color w:val="auto"/>
        </w:rPr>
        <w:t>We depend on our management team and the loss of their service could have a material adverse effect on our business, financial condition and results of operations.</w:t>
      </w:r>
    </w:p>
    <w:p>
      <w:pPr>
        <w:spacing w:after="0" w:line="1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success depends to a large extent upon the continued services of our executive management team. The loss of key personnel could have a material adverse effect on our business, financial condition, results of operations and cash flows. Additionally, we cannot assure you that we will be able to attract or retain other skilled personnel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safety compliance costs and liabilities could increase our expenses and adversely affect our financial condition.</w:t>
      </w:r>
    </w:p>
    <w:p>
      <w:pPr>
        <w:spacing w:after="0" w:line="18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Our operations are subject to numerous environmental, health and safety laws and regulations that prohibit or restrict the discharge of pollutants into the environment and regulate employee exposure to hazardous substance in the workplace. Failure to comply with these laws could subject us to material costs and liabilities, including civil and criminal fines, costs to cleanup contamination we cause and, in some circumstances, costs to cleanup contamination we discover on our own property but did not cause.</w:t>
      </w:r>
    </w:p>
    <w:p>
      <w:pPr>
        <w:spacing w:after="0" w:line="14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Because we use and generate hazardous materials in some of our operations, we are potentially subject to material liabilities relating to the cleanup of contamination and personal injury claims. In addition, we have retained certain environmental liabilities in connection with the sale of former businesses. We are currently funding the cleanup of historical contamination at one of our former properties and contributing to the cleanup of third-party sites as a result of our sale of our former subsidiary DuBois Chemicals Inc. Although we have established a reserve for these liabilities, actual cleanup costs may exceed our current estimates due to factors beyond our control, such as the discovery of additional contamination or the enforcement of more stringent cleanup requirements. New laws and regulations or their stricter enforcement, the discovery of presently unknown conditions or the receipt of additional claims for indemnification could require us to incur costs or become the basis for new or increased liabilities including impairment of our brand that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certain anti-takeover statutes that might make it more difficult to effect a change in control of the Company.</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are subject to the anti-takeover provisions of Section 203 of the Delaware General Corporation Law, which prohibits us from engaging in a “business combination” with an “interested stockholder” for a period of three years after the date of the transaction in which the person became an interested stockholder, unless the business combination is approved in a prescribed manner. The application of Section 203 could have the effect of delaying or preventing a change of control that could be advantageous to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adverse ruling against us in certain litigation could have an adverse effect on our financial condition and results of operations.</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We are involved in litigation incidental to the conduct of our business currently and from time to time. The damages claimed against us in some of these cases can be substantial. See the “Legal Proceedings” sections of this 10-K and the Notes to the Consolidated Financial Statements for discussion of particular matters. We cannot assure you that we will prevail in pending cases. Regardless of the outcome, such litigation is costly to manage, investigate and defend, and the related defense costs, diversion of management’s time and related publicity may adversely affect the conduct of our business and the results of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historically incurred debt to finance the operations of the Company.</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Company has historically had debt service obligations and has the ability through its existing credit facility to incur debt that may restrict our operating flexibility. We cannot assure you that our cash flow from operations would be sufficient to service our future operating needs, which would require us to borrow additional funds, or restructure or otherwise refinance our debt. In addition, the Company has the ability to expand its existing debt and borrowing capacity subject to various restrictions and covenants defined by its creditors. The interest rate the Company pays will fluctuate from time to time based upon a number of factors including current LIBOR rates and Company operating performance. Significant changes in these factors could result in a material change in the Company’s interest expense.</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future ability to repay or to refinance our indebtedness and to pay interest on our indebtedness will depend on our operating performance, which may be affected by factors beyond our control. These factors could include operating difficulties, increased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jc w:val="both"/>
        <w:spacing w:after="0" w:line="231" w:lineRule="auto"/>
        <w:rPr>
          <w:sz w:val="20"/>
          <w:szCs w:val="20"/>
          <w:color w:val="auto"/>
        </w:rPr>
      </w:pPr>
      <w:r>
        <w:rPr>
          <w:rFonts w:ascii="Arial" w:cs="Arial" w:eastAsia="Arial" w:hAnsi="Arial"/>
          <w:sz w:val="18"/>
          <w:szCs w:val="18"/>
          <w:color w:val="auto"/>
        </w:rPr>
        <w:t>operating costs, our competitors’ actions and regulatory developments. Our ability to meet our debt service and other obligations may depend in significant part on the extent to which we successfully implement our business strategy. We cannot assure you that we will be able to implement our strategy fully or that the anticipated results of our strategy will be realized. Credit market conditions may make it difficult for us to obtain new financing or refinance our current debt on terms and conditions acceptable to us.</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If our cash flows and capital resources are insufficient to fund our potential debt service obligations, we may be forced to reduce or delay capital expenditures, sell assets, seek additional equity capital or restructure our debt. We cannot assure you that our cash flows and capital resources would be sufficient to make scheduled payments of principal and interest on our indebtedness in the future or that alternative measures would successfully meet our debt service obligations.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Issues associated with the actual or perceived effects of COVID-19 or another epidemic, pandemic, or similar widespread public health concern, could adversely affect our businesses.</w:t>
      </w:r>
    </w:p>
    <w:p>
      <w:pPr>
        <w:spacing w:after="0" w:line="315"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Our businesses may be negatively impacted by the fear of exposure to or actual effects of COVID-19 or another epidemic, pandemic, or similar widespread public health concern. Negative impacts may include, but not be limited to: restrictions or limitations on our ability to continue operations and service our patients and customers in-person, changes in demand for our services or mix of services demanded, additional costs for PPE and other items or processes necessitated to maintain the health and safety of our employees, customers and patients, isolated outbreaks of disease that may affect our ability to provide services in certain areas for a period of time, and increasing difficulty in our ability to hire employees to provide in-person services for our patients and customers during the pendency of any public health concern.</w:t>
      </w:r>
    </w:p>
    <w:p>
      <w:pPr>
        <w:spacing w:after="0" w:line="2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Despite our efforts to manage and remedy these impacts, their ultimate impact also depends on factors beyond our knowledge or control, including the duration and severity of any such outbreak as well as third-party actions taken to contain its spread and mitigate its public health effects.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Company’s corporate offices and the headquarters for Roto-Rooter are located in Cincinnati, Ohio. Roto-Rooter has manufacturing and distribution center facilities in West Des Moines, Iowa and has 328 leased and owned office and service facilities in 34 states. VITAS, headquartered in Miami, operates 49 programs from 180 leased and owned facilities and 28 inpatient units in 16 states and the District of Columbia.</w:t>
      </w:r>
    </w:p>
    <w:p>
      <w:pPr>
        <w:spacing w:after="0" w:line="13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All “owned” property is held in fee and is subject to the security interests of the holders of our debt instruments. The leased properties have lease terms ranging from monthly to ten years. Management does not foresee any difficulty in renewing or replacing the remainder of its current leases. The Company considers all of its major operating properties to be maintained in good operating condition and to be generally adequate for present and anticipated needs.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Company’s disclosure related to legal proceedings is set forth in Note 17 “Legal and Regulatory Matters” included in the Notes to the Consolidated Financial Statements included with this report,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338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of the Company</w:t>
            </w: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9"/>
        </w:trPr>
        <w:tc>
          <w:tcPr>
            <w:tcW w:w="2500" w:type="dxa"/>
            <w:vAlign w:val="bottom"/>
            <w:gridSpan w:val="2"/>
          </w:tcPr>
          <w:p>
            <w:pPr>
              <w:spacing w:after="0"/>
              <w:rPr>
                <w:sz w:val="20"/>
                <w:szCs w:val="20"/>
                <w:color w:val="auto"/>
              </w:rPr>
            </w:pPr>
            <w:r>
              <w:rPr>
                <w:rFonts w:ascii="Arial" w:cs="Arial" w:eastAsia="Arial" w:hAnsi="Arial"/>
                <w:sz w:val="18"/>
                <w:szCs w:val="18"/>
                <w:color w:val="auto"/>
              </w:rPr>
              <w:t>Name</w:t>
            </w:r>
          </w:p>
        </w:tc>
        <w:tc>
          <w:tcPr>
            <w:tcW w:w="880" w:type="dxa"/>
            <w:vAlign w:val="bottom"/>
            <w:gridSpan w:val="2"/>
          </w:tcPr>
          <w:p>
            <w:pPr>
              <w:spacing w:after="0"/>
              <w:rPr>
                <w:sz w:val="20"/>
                <w:szCs w:val="20"/>
                <w:color w:val="auto"/>
              </w:rPr>
            </w:pPr>
            <w:r>
              <w:rPr>
                <w:rFonts w:ascii="Arial" w:cs="Arial" w:eastAsia="Arial" w:hAnsi="Arial"/>
                <w:sz w:val="18"/>
                <w:szCs w:val="18"/>
                <w:color w:val="auto"/>
              </w:rPr>
              <w:t>Age</w:t>
            </w:r>
          </w:p>
        </w:tc>
        <w:tc>
          <w:tcPr>
            <w:tcW w:w="55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2340" w:type="dxa"/>
            <w:vAlign w:val="bottom"/>
          </w:tcPr>
          <w:p>
            <w:pPr>
              <w:spacing w:after="0"/>
              <w:rPr>
                <w:sz w:val="20"/>
                <w:szCs w:val="20"/>
                <w:color w:val="auto"/>
              </w:rPr>
            </w:pPr>
            <w:r>
              <w:rPr>
                <w:rFonts w:ascii="Arial" w:cs="Arial" w:eastAsia="Arial" w:hAnsi="Arial"/>
                <w:sz w:val="18"/>
                <w:szCs w:val="18"/>
                <w:color w:val="auto"/>
              </w:rPr>
              <w:t>First Elected</w:t>
            </w:r>
          </w:p>
        </w:tc>
      </w:tr>
      <w:tr>
        <w:trPr>
          <w:trHeight w:val="202"/>
        </w:trPr>
        <w:tc>
          <w:tcPr>
            <w:tcW w:w="2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Kevin J. McNamara</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7"/>
                <w:szCs w:val="17"/>
                <w:color w:val="auto"/>
              </w:rPr>
            </w:pPr>
          </w:p>
        </w:tc>
        <w:tc>
          <w:tcPr>
            <w:tcW w:w="5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200" w:type="dxa"/>
            <w:vAlign w:val="bottom"/>
          </w:tcPr>
          <w:p>
            <w:pPr>
              <w:spacing w:after="0"/>
              <w:rPr>
                <w:sz w:val="17"/>
                <w:szCs w:val="17"/>
                <w:color w:val="auto"/>
              </w:rPr>
            </w:pPr>
          </w:p>
        </w:tc>
        <w:tc>
          <w:tcPr>
            <w:tcW w:w="2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August 2, 1994 (1)</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David P. Williams</w:t>
            </w:r>
          </w:p>
        </w:tc>
        <w:tc>
          <w:tcPr>
            <w:tcW w:w="700" w:type="dxa"/>
            <w:vAlign w:val="bottom"/>
          </w:tcPr>
          <w:p>
            <w:pPr>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340" w:type="dxa"/>
            <w:vAlign w:val="bottom"/>
          </w:tcPr>
          <w:p>
            <w:pPr>
              <w:spacing w:after="0"/>
              <w:rPr>
                <w:sz w:val="20"/>
                <w:szCs w:val="20"/>
                <w:color w:val="auto"/>
              </w:rPr>
            </w:pPr>
            <w:r>
              <w:rPr>
                <w:rFonts w:ascii="Arial" w:cs="Arial" w:eastAsia="Arial" w:hAnsi="Arial"/>
                <w:sz w:val="18"/>
                <w:szCs w:val="18"/>
                <w:color w:val="auto"/>
              </w:rPr>
              <w:t>March 5, 2004 (2)</w:t>
            </w: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Spencer S. Lee</w:t>
            </w:r>
          </w:p>
        </w:tc>
        <w:tc>
          <w:tcPr>
            <w:tcW w:w="700" w:type="dxa"/>
            <w:vAlign w:val="bottom"/>
          </w:tcPr>
          <w:p>
            <w:pPr>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340" w:type="dxa"/>
            <w:vAlign w:val="bottom"/>
          </w:tcPr>
          <w:p>
            <w:pPr>
              <w:spacing w:after="0"/>
              <w:rPr>
                <w:sz w:val="20"/>
                <w:szCs w:val="20"/>
                <w:color w:val="auto"/>
              </w:rPr>
            </w:pPr>
            <w:r>
              <w:rPr>
                <w:rFonts w:ascii="Arial" w:cs="Arial" w:eastAsia="Arial" w:hAnsi="Arial"/>
                <w:sz w:val="18"/>
                <w:szCs w:val="18"/>
                <w:color w:val="auto"/>
              </w:rPr>
              <w:t>May 15, 2000 (3)</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Nicholas M. Westfall</w:t>
            </w:r>
          </w:p>
        </w:tc>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340" w:type="dxa"/>
            <w:vAlign w:val="bottom"/>
          </w:tcPr>
          <w:p>
            <w:pPr>
              <w:spacing w:after="0"/>
              <w:rPr>
                <w:sz w:val="20"/>
                <w:szCs w:val="20"/>
                <w:color w:val="auto"/>
              </w:rPr>
            </w:pPr>
            <w:r>
              <w:rPr>
                <w:rFonts w:ascii="Arial" w:cs="Arial" w:eastAsia="Arial" w:hAnsi="Arial"/>
                <w:sz w:val="18"/>
                <w:szCs w:val="18"/>
                <w:color w:val="auto"/>
              </w:rPr>
              <w:t>June 16, 2016 (4)</w:t>
            </w: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Michael D. Witzeman</w:t>
            </w:r>
          </w:p>
        </w:tc>
        <w:tc>
          <w:tcPr>
            <w:tcW w:w="70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c>
          <w:tcPr>
            <w:tcW w:w="2340" w:type="dxa"/>
            <w:vAlign w:val="bottom"/>
          </w:tcPr>
          <w:p>
            <w:pPr>
              <w:spacing w:after="0"/>
              <w:rPr>
                <w:sz w:val="20"/>
                <w:szCs w:val="20"/>
                <w:color w:val="auto"/>
              </w:rPr>
            </w:pPr>
            <w:r>
              <w:rPr>
                <w:rFonts w:ascii="Arial" w:cs="Arial" w:eastAsia="Arial" w:hAnsi="Arial"/>
                <w:sz w:val="18"/>
                <w:szCs w:val="18"/>
                <w:color w:val="auto"/>
              </w:rPr>
              <w:t>May 21, 2012 (5)</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Brian C. Judkins</w:t>
            </w:r>
          </w:p>
        </w:tc>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Vice President and Chief Legal Officer</w:t>
            </w:r>
          </w:p>
        </w:tc>
        <w:tc>
          <w:tcPr>
            <w:tcW w:w="2340" w:type="dxa"/>
            <w:vAlign w:val="bottom"/>
          </w:tcPr>
          <w:p>
            <w:pPr>
              <w:spacing w:after="0"/>
              <w:rPr>
                <w:sz w:val="20"/>
                <w:szCs w:val="20"/>
                <w:color w:val="auto"/>
              </w:rPr>
            </w:pPr>
            <w:r>
              <w:rPr>
                <w:rFonts w:ascii="Arial" w:cs="Arial" w:eastAsia="Arial" w:hAnsi="Arial"/>
                <w:sz w:val="18"/>
                <w:szCs w:val="18"/>
                <w:color w:val="auto"/>
              </w:rPr>
              <w:t>August 31, 2020 (6)</w:t>
            </w:r>
          </w:p>
        </w:tc>
      </w:tr>
    </w:tbl>
    <w:p>
      <w:pPr>
        <w:spacing w:after="0" w:line="175" w:lineRule="exact"/>
        <w:rPr>
          <w:sz w:val="20"/>
          <w:szCs w:val="20"/>
          <w:color w:val="auto"/>
        </w:rPr>
      </w:pPr>
    </w:p>
    <w:p>
      <w:pPr>
        <w:jc w:val="both"/>
        <w:ind w:left="660" w:hanging="652"/>
        <w:spacing w:after="0" w:line="270" w:lineRule="auto"/>
        <w:tabs>
          <w:tab w:leader="none" w:pos="794"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K.J. McNamara is President and Chief Executive Officer of the Company and has held these positions since August 1994 and May 2001, respectively. Previously, he served as an Executive Vice President, Secretary and General Counsel of the Company, since November 1993, August 1986 and August 1986, respectively. He previously held the position of Vice President of the Company, from August 1986 to May 1992.</w:t>
      </w:r>
    </w:p>
    <w:p>
      <w:pPr>
        <w:jc w:val="both"/>
        <w:ind w:left="660" w:hanging="652"/>
        <w:spacing w:after="0" w:line="235" w:lineRule="auto"/>
        <w:tabs>
          <w:tab w:leader="none" w:pos="717"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D.P. Williams is an Executive Vice President and the Chief Financial Officer of the company and has held these positions since August 2007 and March 2004, respectively. Mr. Williams is also Senior Vice President and Chief Financial Officer of Roto-Rooter Group, Inc., and has held these positions since January 1999.</w:t>
      </w:r>
    </w:p>
    <w:p>
      <w:pPr>
        <w:spacing w:after="0" w:line="12" w:lineRule="exact"/>
        <w:rPr>
          <w:rFonts w:ascii="Arial" w:cs="Arial" w:eastAsia="Arial" w:hAnsi="Arial"/>
          <w:sz w:val="18"/>
          <w:szCs w:val="18"/>
          <w:color w:val="auto"/>
        </w:rPr>
      </w:pPr>
    </w:p>
    <w:p>
      <w:pPr>
        <w:jc w:val="both"/>
        <w:ind w:left="660" w:hanging="652"/>
        <w:spacing w:after="0" w:line="253" w:lineRule="auto"/>
        <w:tabs>
          <w:tab w:leader="none" w:pos="795" w:val="left"/>
        </w:tabs>
        <w:numPr>
          <w:ilvl w:val="0"/>
          <w:numId w:val="3"/>
        </w:numPr>
        <w:rPr>
          <w:rFonts w:ascii="Arial" w:cs="Arial" w:eastAsia="Arial" w:hAnsi="Arial"/>
          <w:sz w:val="17"/>
          <w:szCs w:val="17"/>
          <w:color w:val="auto"/>
        </w:rPr>
      </w:pPr>
      <w:r>
        <w:rPr>
          <w:rFonts w:ascii="Arial" w:cs="Arial" w:eastAsia="Arial" w:hAnsi="Arial"/>
          <w:sz w:val="17"/>
          <w:szCs w:val="17"/>
          <w:color w:val="auto"/>
        </w:rPr>
        <w:t>Mr. S.S. Lee is an Executive Vice President of the Company and has held this position since May 2000. Mr. Lee is also Chairman and Chief Executive Officer of Roto-Rooter Services Company, a wholly owned subsidiary of the Company, and has held this position since January 1999. Previously, he served as a Senior Vice President of Roto-Rooter Services Company from May 1997 to January 1999.</w:t>
      </w:r>
    </w:p>
    <w:p>
      <w:pPr>
        <w:spacing w:after="0" w:line="2" w:lineRule="exact"/>
        <w:rPr>
          <w:rFonts w:ascii="Arial" w:cs="Arial" w:eastAsia="Arial" w:hAnsi="Arial"/>
          <w:sz w:val="17"/>
          <w:szCs w:val="17"/>
          <w:color w:val="auto"/>
        </w:rPr>
      </w:pPr>
    </w:p>
    <w:p>
      <w:pPr>
        <w:jc w:val="both"/>
        <w:ind w:left="660" w:hanging="652"/>
        <w:spacing w:after="0" w:line="246" w:lineRule="auto"/>
        <w:tabs>
          <w:tab w:leader="none" w:pos="706" w:val="left"/>
        </w:tabs>
        <w:numPr>
          <w:ilvl w:val="0"/>
          <w:numId w:val="3"/>
        </w:numPr>
        <w:rPr>
          <w:rFonts w:ascii="Arial" w:cs="Arial" w:eastAsia="Arial" w:hAnsi="Arial"/>
          <w:sz w:val="17"/>
          <w:szCs w:val="17"/>
          <w:color w:val="auto"/>
        </w:rPr>
      </w:pPr>
      <w:r>
        <w:rPr>
          <w:rFonts w:ascii="Arial" w:cs="Arial" w:eastAsia="Arial" w:hAnsi="Arial"/>
          <w:sz w:val="17"/>
          <w:szCs w:val="17"/>
          <w:color w:val="auto"/>
        </w:rPr>
        <w:t>Mr. N.M. Westfall is an Executive Vice President of the Company and has held this position since June 2016. He is also Chief Executive Officer of VITAS, a wholly owned subsidiary of the Company, and has held this position since June 2016. Previously, from May 2015 to June 2016, he also served as Chief Operating Officer of VITAS. Previously, he served as Senior Vice President of VITAS from April 2012 to April of 2015. Prior to that he served as Director of Information Technology and Operations for Chemed from May 2009 to April 2012.</w:t>
      </w:r>
    </w:p>
    <w:p>
      <w:pPr>
        <w:spacing w:after="0" w:line="8" w:lineRule="exact"/>
        <w:rPr>
          <w:rFonts w:ascii="Arial" w:cs="Arial" w:eastAsia="Arial" w:hAnsi="Arial"/>
          <w:sz w:val="17"/>
          <w:szCs w:val="17"/>
          <w:color w:val="auto"/>
        </w:rPr>
      </w:pPr>
    </w:p>
    <w:p>
      <w:pPr>
        <w:ind w:left="660" w:right="20" w:hanging="652"/>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M.D. Witzeman is a Vice President and Controller of the Company. He has held these positions since May 2012 and May 2017 respectively. Prior to that he served as Assistant Vice President and Assistant Controller from July 2005.</w:t>
      </w:r>
    </w:p>
    <w:p>
      <w:pPr>
        <w:spacing w:after="0" w:line="7" w:lineRule="exact"/>
        <w:rPr>
          <w:rFonts w:ascii="Arial" w:cs="Arial" w:eastAsia="Arial" w:hAnsi="Arial"/>
          <w:sz w:val="18"/>
          <w:szCs w:val="18"/>
          <w:color w:val="auto"/>
        </w:rPr>
      </w:pPr>
    </w:p>
    <w:p>
      <w:pPr>
        <w:ind w:left="660" w:hanging="652"/>
        <w:spacing w:after="0" w:line="246" w:lineRule="auto"/>
        <w:tabs>
          <w:tab w:leader="none" w:pos="726"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B.C. Judkins is a Vice President and the Secretary and Chief Legal Officer of the Company. He has held these positions since August 2020. Prior to that he served as Vice President and Counsel from January 2019.</w:t>
      </w:r>
    </w:p>
    <w:p>
      <w:pPr>
        <w:spacing w:after="0" w:line="197"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Each executive officer holds office until the annual election at the next annual organizational meeting of the Board of Directors of the Company which is scheduled to be held on May 16, 2022.</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has historically paid cash dividends quarterly. However, future dividends are dependent upon the Company’s earnings and financial condition, compliance with certain debt covenants and other factors not presently determinable.</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February 11, 2022, there were approximately 1,357 stockholders of record of the Company’s Capital Stock. This number only includes stockholders of record and does not include stockholders with shares beneficially held in nominee name or within clearinghouse positions of brokers, banks or other institutions.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ind w:firstLine="648"/>
        <w:spacing w:after="0" w:line="246" w:lineRule="auto"/>
        <w:rPr>
          <w:sz w:val="20"/>
          <w:szCs w:val="20"/>
          <w:color w:val="auto"/>
        </w:rPr>
      </w:pPr>
      <w:r>
        <w:rPr>
          <w:rFonts w:ascii="Arial" w:cs="Arial" w:eastAsia="Arial" w:hAnsi="Arial"/>
          <w:sz w:val="18"/>
          <w:szCs w:val="18"/>
          <w:color w:val="auto"/>
        </w:rPr>
        <w:t>During 2021, the number of shares of Capital Stock repurchased by the Company, the weighted average price paid for each share, the cumulative shares repurchased under each program and the dollar amounts remaining under each program were as follows:</w:t>
      </w:r>
    </w:p>
    <w:p>
      <w:pPr>
        <w:spacing w:after="0" w:line="13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Company Purchase of Shares of Capital Stock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 Number</w:t>
            </w:r>
          </w:p>
        </w:tc>
        <w:tc>
          <w:tcPr>
            <w:tcW w:w="2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Cumulative Shares</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Dollar Amount</w:t>
            </w:r>
          </w:p>
        </w:tc>
      </w:tr>
      <w:tr>
        <w:trPr>
          <w:trHeight w:val="229"/>
        </w:trPr>
        <w:tc>
          <w:tcPr>
            <w:tcW w:w="16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220" w:type="dxa"/>
            <w:vAlign w:val="bottom"/>
          </w:tcPr>
          <w:p>
            <w:pPr>
              <w:spacing w:after="0"/>
              <w:rPr>
                <w:sz w:val="19"/>
                <w:szCs w:val="19"/>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Price Paid Per</w:t>
            </w:r>
          </w:p>
        </w:tc>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Repurchased Under</w:t>
            </w:r>
          </w:p>
        </w:tc>
        <w:tc>
          <w:tcPr>
            <w:tcW w:w="2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Under</w:t>
            </w:r>
          </w:p>
        </w:tc>
      </w:tr>
      <w:tr>
        <w:trPr>
          <w:trHeight w:val="208"/>
        </w:trPr>
        <w:tc>
          <w:tcPr>
            <w:tcW w:w="1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Share</w:t>
            </w:r>
          </w:p>
        </w:tc>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the Program</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The Program</w:t>
            </w:r>
          </w:p>
        </w:tc>
      </w:tr>
      <w:tr>
        <w:trPr>
          <w:trHeight w:val="426"/>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91"/>
              </w:rPr>
              <w:t>February 2011 Program</w:t>
            </w:r>
          </w:p>
        </w:tc>
        <w:tc>
          <w:tcPr>
            <w:tcW w:w="22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244"/>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January 1 through January 31, 2021</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9,030,125</w:t>
            </w:r>
          </w:p>
        </w:tc>
        <w:tc>
          <w:tcPr>
            <w:tcW w:w="18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178,424,171</w:t>
            </w:r>
          </w:p>
        </w:tc>
      </w:tr>
      <w:tr>
        <w:trPr>
          <w:trHeight w:val="229"/>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February 1 through February 28, 2021</w:t>
            </w:r>
          </w:p>
        </w:tc>
        <w:tc>
          <w:tcPr>
            <w:tcW w:w="1620" w:type="dxa"/>
            <w:vAlign w:val="bottom"/>
          </w:tcPr>
          <w:p>
            <w:pPr>
              <w:jc w:val="right"/>
              <w:spacing w:after="0"/>
              <w:rPr>
                <w:sz w:val="20"/>
                <w:szCs w:val="20"/>
                <w:color w:val="auto"/>
              </w:rPr>
            </w:pPr>
            <w:r>
              <w:rPr>
                <w:rFonts w:ascii="Arial" w:cs="Arial" w:eastAsia="Arial" w:hAnsi="Arial"/>
                <w:sz w:val="16"/>
                <w:szCs w:val="16"/>
                <w:color w:val="auto"/>
              </w:rPr>
              <w:t>20,000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446.44</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9,050,125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169,495,380</w:t>
            </w:r>
          </w:p>
        </w:tc>
      </w:tr>
      <w:tr>
        <w:trPr>
          <w:trHeight w:val="235"/>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March 1 through March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447.98</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9,130,125</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133,656,728</w:t>
            </w:r>
          </w:p>
        </w:tc>
      </w:tr>
      <w:tr>
        <w:trPr>
          <w:trHeight w:val="399"/>
        </w:trPr>
        <w:tc>
          <w:tcPr>
            <w:tcW w:w="3900" w:type="dxa"/>
            <w:vAlign w:val="bottom"/>
            <w:gridSpan w:val="2"/>
          </w:tcPr>
          <w:p>
            <w:pPr>
              <w:ind w:left="220"/>
              <w:spacing w:after="0"/>
              <w:rPr>
                <w:sz w:val="20"/>
                <w:szCs w:val="20"/>
                <w:color w:val="auto"/>
              </w:rPr>
            </w:pPr>
            <w:r>
              <w:rPr>
                <w:rFonts w:ascii="Arial" w:cs="Arial" w:eastAsia="Arial" w:hAnsi="Arial"/>
                <w:sz w:val="16"/>
                <w:szCs w:val="16"/>
                <w:color w:val="auto"/>
              </w:rPr>
              <w:t>First Quarter 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447.67</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3"/>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April 1 through April 30, 2021</w:t>
            </w:r>
          </w:p>
        </w:tc>
        <w:tc>
          <w:tcPr>
            <w:tcW w:w="1620" w:type="dxa"/>
            <w:vAlign w:val="bottom"/>
          </w:tcPr>
          <w:p>
            <w:pPr>
              <w:jc w:val="right"/>
              <w:spacing w:after="0"/>
              <w:rPr>
                <w:sz w:val="20"/>
                <w:szCs w:val="20"/>
                <w:color w:val="auto"/>
              </w:rPr>
            </w:pPr>
            <w:r>
              <w:rPr>
                <w:rFonts w:ascii="Arial" w:cs="Arial" w:eastAsia="Arial" w:hAnsi="Arial"/>
                <w:sz w:val="16"/>
                <w:szCs w:val="16"/>
                <w:color w:val="auto"/>
              </w:rPr>
              <w:t>14,685</w:t>
            </w:r>
          </w:p>
        </w:tc>
        <w:tc>
          <w:tcPr>
            <w:tcW w:w="200" w:type="dxa"/>
            <w:vAlign w:val="bottom"/>
          </w:tcPr>
          <w:p>
            <w:pPr>
              <w:spacing w:after="0"/>
              <w:rPr>
                <w:sz w:val="24"/>
                <w:szCs w:val="24"/>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478.70</w:t>
            </w: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9,144,810</w:t>
            </w:r>
          </w:p>
        </w:tc>
        <w:tc>
          <w:tcPr>
            <w:tcW w:w="180" w:type="dxa"/>
            <w:vAlign w:val="bottom"/>
          </w:tcPr>
          <w:p>
            <w:pPr>
              <w:spacing w:after="0"/>
              <w:rPr>
                <w:sz w:val="24"/>
                <w:szCs w:val="24"/>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126,627,084</w:t>
            </w:r>
          </w:p>
        </w:tc>
      </w:tr>
      <w:tr>
        <w:trPr>
          <w:trHeight w:val="230"/>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May 1 through May 31, 2021 (1)</w:t>
            </w:r>
          </w:p>
        </w:tc>
        <w:tc>
          <w:tcPr>
            <w:tcW w:w="1620" w:type="dxa"/>
            <w:vAlign w:val="bottom"/>
          </w:tcPr>
          <w:p>
            <w:pPr>
              <w:jc w:val="right"/>
              <w:spacing w:after="0"/>
              <w:rPr>
                <w:sz w:val="20"/>
                <w:szCs w:val="20"/>
                <w:color w:val="auto"/>
              </w:rPr>
            </w:pPr>
            <w:r>
              <w:rPr>
                <w:rFonts w:ascii="Arial" w:cs="Arial" w:eastAsia="Arial" w:hAnsi="Arial"/>
                <w:sz w:val="16"/>
                <w:szCs w:val="16"/>
                <w:color w:val="auto"/>
              </w:rPr>
              <w:t>200,315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486.65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9,345,125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329,142,814</w:t>
            </w:r>
          </w:p>
        </w:tc>
      </w:tr>
      <w:tr>
        <w:trPr>
          <w:trHeight w:val="235"/>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June 1 through June 30,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496.21</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9,380,125</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311,775,318</w:t>
            </w:r>
          </w:p>
        </w:tc>
      </w:tr>
      <w:tr>
        <w:trPr>
          <w:trHeight w:val="399"/>
        </w:trPr>
        <w:tc>
          <w:tcPr>
            <w:tcW w:w="3900" w:type="dxa"/>
            <w:vAlign w:val="bottom"/>
            <w:gridSpan w:val="2"/>
          </w:tcPr>
          <w:p>
            <w:pPr>
              <w:ind w:left="220"/>
              <w:spacing w:after="0"/>
              <w:rPr>
                <w:sz w:val="20"/>
                <w:szCs w:val="20"/>
                <w:color w:val="auto"/>
              </w:rPr>
            </w:pPr>
            <w:r>
              <w:rPr>
                <w:rFonts w:ascii="Arial" w:cs="Arial" w:eastAsia="Arial" w:hAnsi="Arial"/>
                <w:sz w:val="16"/>
                <w:szCs w:val="16"/>
                <w:color w:val="auto"/>
              </w:rPr>
              <w:t>Second Quarter 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487.52</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4"/>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July 1 through July 31, 2021</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9,380,125</w:t>
            </w:r>
          </w:p>
        </w:tc>
        <w:tc>
          <w:tcPr>
            <w:tcW w:w="180" w:type="dxa"/>
            <w:vAlign w:val="bottom"/>
          </w:tcPr>
          <w:p>
            <w:pPr>
              <w:spacing w:after="0"/>
              <w:rPr>
                <w:sz w:val="24"/>
                <w:szCs w:val="24"/>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311,775,318</w:t>
            </w:r>
          </w:p>
        </w:tc>
      </w:tr>
      <w:tr>
        <w:trPr>
          <w:trHeight w:val="229"/>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August 1 through August 31, 2021</w:t>
            </w:r>
          </w:p>
        </w:tc>
        <w:tc>
          <w:tcPr>
            <w:tcW w:w="1620" w:type="dxa"/>
            <w:vAlign w:val="bottom"/>
          </w:tcPr>
          <w:p>
            <w:pPr>
              <w:jc w:val="right"/>
              <w:spacing w:after="0"/>
              <w:rPr>
                <w:sz w:val="20"/>
                <w:szCs w:val="20"/>
                <w:color w:val="auto"/>
              </w:rPr>
            </w:pPr>
            <w:r>
              <w:rPr>
                <w:rFonts w:ascii="Arial" w:cs="Arial" w:eastAsia="Arial" w:hAnsi="Arial"/>
                <w:sz w:val="16"/>
                <w:szCs w:val="16"/>
                <w:color w:val="auto"/>
              </w:rPr>
              <w:t>279,171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465.57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9,659,296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181,801,156</w:t>
            </w:r>
          </w:p>
        </w:tc>
      </w:tr>
      <w:tr>
        <w:trPr>
          <w:trHeight w:val="235"/>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September 1 through September 30,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476.60</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9,730,125</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148,044,270</w:t>
            </w:r>
          </w:p>
        </w:tc>
      </w:tr>
      <w:tr>
        <w:trPr>
          <w:trHeight w:val="399"/>
        </w:trPr>
        <w:tc>
          <w:tcPr>
            <w:tcW w:w="3900" w:type="dxa"/>
            <w:vAlign w:val="bottom"/>
            <w:gridSpan w:val="2"/>
          </w:tcPr>
          <w:p>
            <w:pPr>
              <w:ind w:left="220"/>
              <w:spacing w:after="0"/>
              <w:rPr>
                <w:sz w:val="20"/>
                <w:szCs w:val="20"/>
                <w:color w:val="auto"/>
              </w:rPr>
            </w:pPr>
            <w:r>
              <w:rPr>
                <w:rFonts w:ascii="Arial" w:cs="Arial" w:eastAsia="Arial" w:hAnsi="Arial"/>
                <w:sz w:val="16"/>
                <w:szCs w:val="16"/>
                <w:color w:val="auto"/>
              </w:rPr>
              <w:t>Third Quarter 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467.80</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4"/>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October 1 through October 31, 2021</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9,730,125</w:t>
            </w:r>
          </w:p>
        </w:tc>
        <w:tc>
          <w:tcPr>
            <w:tcW w:w="180" w:type="dxa"/>
            <w:vAlign w:val="bottom"/>
          </w:tcPr>
          <w:p>
            <w:pPr>
              <w:spacing w:after="0"/>
              <w:rPr>
                <w:sz w:val="24"/>
                <w:szCs w:val="24"/>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148,044,270</w:t>
            </w:r>
          </w:p>
        </w:tc>
      </w:tr>
      <w:tr>
        <w:trPr>
          <w:trHeight w:val="229"/>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November 1 through November 30, 2021 (2)</w:t>
            </w:r>
          </w:p>
        </w:tc>
        <w:tc>
          <w:tcPr>
            <w:tcW w:w="1620" w:type="dxa"/>
            <w:vAlign w:val="bottom"/>
          </w:tcPr>
          <w:p>
            <w:pPr>
              <w:jc w:val="right"/>
              <w:spacing w:after="0"/>
              <w:rPr>
                <w:sz w:val="20"/>
                <w:szCs w:val="20"/>
                <w:color w:val="auto"/>
              </w:rPr>
            </w:pPr>
            <w:r>
              <w:rPr>
                <w:rFonts w:ascii="Arial" w:cs="Arial" w:eastAsia="Arial" w:hAnsi="Arial"/>
                <w:sz w:val="16"/>
                <w:szCs w:val="16"/>
                <w:color w:val="auto"/>
              </w:rPr>
              <w:t>220,000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490.10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9,950,125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340,222,382</w:t>
            </w:r>
          </w:p>
        </w:tc>
      </w:tr>
      <w:tr>
        <w:trPr>
          <w:trHeight w:val="235"/>
        </w:trPr>
        <w:tc>
          <w:tcPr>
            <w:tcW w:w="3900" w:type="dxa"/>
            <w:vAlign w:val="bottom"/>
            <w:gridSpan w:val="2"/>
          </w:tcPr>
          <w:p>
            <w:pPr>
              <w:ind w:left="120"/>
              <w:spacing w:after="0"/>
              <w:rPr>
                <w:sz w:val="20"/>
                <w:szCs w:val="20"/>
                <w:color w:val="auto"/>
              </w:rPr>
            </w:pPr>
            <w:r>
              <w:rPr>
                <w:rFonts w:ascii="Arial" w:cs="Arial" w:eastAsia="Arial" w:hAnsi="Arial"/>
                <w:sz w:val="16"/>
                <w:szCs w:val="16"/>
                <w:color w:val="auto"/>
              </w:rPr>
              <w:t>December 1 through December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501.87</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10,225,654</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201,941,318</w:t>
            </w:r>
          </w:p>
        </w:tc>
      </w:tr>
      <w:tr>
        <w:trPr>
          <w:trHeight w:val="399"/>
        </w:trPr>
        <w:tc>
          <w:tcPr>
            <w:tcW w:w="3900" w:type="dxa"/>
            <w:vAlign w:val="bottom"/>
            <w:gridSpan w:val="2"/>
          </w:tcPr>
          <w:p>
            <w:pPr>
              <w:ind w:left="220"/>
              <w:spacing w:after="0"/>
              <w:rPr>
                <w:sz w:val="20"/>
                <w:szCs w:val="20"/>
                <w:color w:val="auto"/>
              </w:rPr>
            </w:pPr>
            <w:r>
              <w:rPr>
                <w:rFonts w:ascii="Arial" w:cs="Arial" w:eastAsia="Arial" w:hAnsi="Arial"/>
                <w:sz w:val="16"/>
                <w:szCs w:val="16"/>
                <w:color w:val="auto"/>
              </w:rPr>
              <w:t>Fourth Quarter 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495,529</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496.64</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2021, our Board of Directors authorized an additional $300 million under the February 2011 Repurchase Program.</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2021, our Board of Directors authorized an additional $300 million under the February 2011 Repurchase Program.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ind w:firstLine="648"/>
        <w:spacing w:after="0" w:line="274" w:lineRule="auto"/>
        <w:rPr>
          <w:sz w:val="20"/>
          <w:szCs w:val="20"/>
          <w:color w:val="auto"/>
        </w:rPr>
      </w:pPr>
      <w:r>
        <w:rPr>
          <w:rFonts w:ascii="Arial" w:cs="Arial" w:eastAsia="Arial" w:hAnsi="Arial"/>
          <w:sz w:val="17"/>
          <w:szCs w:val="17"/>
          <w:color w:val="auto"/>
        </w:rPr>
        <w:t>As of December 31, 2021, the number of stock options and performance share units outstanding under the Company’s equity compensation plans, the weighted average exercise price of outstanding options, and the number of securities remaining available for issuance were as follows:</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90"/>
              <w:spacing w:after="0" w:line="189" w:lineRule="exact"/>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90"/>
              <w:spacing w:after="0" w:line="189" w:lineRule="exact"/>
              <w:rPr>
                <w:sz w:val="20"/>
                <w:szCs w:val="20"/>
                <w:color w:val="auto"/>
              </w:rPr>
            </w:pPr>
            <w:r>
              <w:rPr>
                <w:rFonts w:ascii="Arial" w:cs="Arial" w:eastAsia="Arial" w:hAnsi="Arial"/>
                <w:sz w:val="18"/>
                <w:szCs w:val="18"/>
                <w:color w:val="auto"/>
                <w:w w:val="91"/>
              </w:rPr>
              <w:t>remaining</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Number of</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2"/>
              </w:rPr>
              <w:t>available for</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9"/>
              </w:rPr>
              <w:t>securities to be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90"/>
              <w:spacing w:after="0" w:line="189" w:lineRule="exact"/>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6"/>
              </w:rPr>
              <w:t>issued upon</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Weighted-average</w:t>
            </w:r>
          </w:p>
        </w:tc>
        <w:tc>
          <w:tcPr>
            <w:tcW w:w="15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0"/>
              </w:rPr>
              <w:t>under equity</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1"/>
              </w:rPr>
              <w:t>exercise of</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1"/>
              </w:rPr>
              <w:t>exercise price of</w:t>
            </w:r>
          </w:p>
        </w:tc>
        <w:tc>
          <w:tcPr>
            <w:tcW w:w="1580" w:type="dxa"/>
            <w:vAlign w:val="bottom"/>
          </w:tcPr>
          <w:p>
            <w:pPr>
              <w:jc w:val="center"/>
              <w:ind w:left="90"/>
              <w:spacing w:after="0" w:line="189" w:lineRule="exact"/>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outstanding</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0"/>
              </w:rPr>
              <w:t>outstanding</w:t>
            </w:r>
          </w:p>
        </w:tc>
        <w:tc>
          <w:tcPr>
            <w:tcW w:w="1580" w:type="dxa"/>
            <w:vAlign w:val="bottom"/>
          </w:tcPr>
          <w:p>
            <w:pPr>
              <w:jc w:val="center"/>
              <w:ind w:left="90"/>
              <w:spacing w:after="0" w:line="189" w:lineRule="exact"/>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8"/>
              </w:rPr>
              <w:t>warrants and</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0"/>
              </w:rPr>
              <w:t>options, warrants</w:t>
            </w:r>
          </w:p>
        </w:tc>
        <w:tc>
          <w:tcPr>
            <w:tcW w:w="158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90"/>
              </w:rPr>
              <w:t>securities reflected</w:t>
            </w:r>
          </w:p>
        </w:tc>
        <w:tc>
          <w:tcPr>
            <w:tcW w:w="0" w:type="dxa"/>
            <w:vAlign w:val="bottom"/>
          </w:tcPr>
          <w:p>
            <w:pPr>
              <w:spacing w:after="0"/>
              <w:rPr>
                <w:sz w:val="1"/>
                <w:szCs w:val="1"/>
                <w:color w:val="auto"/>
              </w:rPr>
            </w:pPr>
          </w:p>
        </w:tc>
      </w:tr>
      <w:tr>
        <w:trPr>
          <w:trHeight w:val="230"/>
        </w:trPr>
        <w:tc>
          <w:tcPr>
            <w:tcW w:w="6440" w:type="dxa"/>
            <w:vAlign w:val="bottom"/>
            <w:vMerge w:val="restart"/>
          </w:tcPr>
          <w:p>
            <w:pPr>
              <w:spacing w:after="0"/>
              <w:rPr>
                <w:sz w:val="20"/>
                <w:szCs w:val="20"/>
                <w:color w:val="auto"/>
              </w:rPr>
            </w:pPr>
            <w:r>
              <w:rPr>
                <w:rFonts w:ascii="Arial" w:cs="Arial" w:eastAsia="Arial" w:hAnsi="Arial"/>
                <w:sz w:val="18"/>
                <w:szCs w:val="18"/>
                <w:color w:val="auto"/>
              </w:rPr>
              <w:t>Plan Category</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rights</w:t>
            </w:r>
          </w:p>
        </w:tc>
        <w:tc>
          <w:tcPr>
            <w:tcW w:w="26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color w:val="auto"/>
                <w:w w:val="91"/>
              </w:rPr>
              <w:t>and rights</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6"/>
              </w:rPr>
              <w:t>in column)</w:t>
            </w:r>
          </w:p>
        </w:tc>
        <w:tc>
          <w:tcPr>
            <w:tcW w:w="0" w:type="dxa"/>
            <w:vAlign w:val="bottom"/>
          </w:tcPr>
          <w:p>
            <w:pPr>
              <w:spacing w:after="0"/>
              <w:rPr>
                <w:sz w:val="1"/>
                <w:szCs w:val="1"/>
                <w:color w:val="auto"/>
              </w:rPr>
            </w:pPr>
          </w:p>
        </w:tc>
      </w:tr>
      <w:tr>
        <w:trPr>
          <w:trHeight w:val="181"/>
        </w:trPr>
        <w:tc>
          <w:tcPr>
            <w:tcW w:w="6440" w:type="dxa"/>
            <w:vAlign w:val="bottom"/>
            <w:tcBorders>
              <w:bottom w:val="single" w:sz="8" w:color="auto"/>
            </w:tcBorders>
            <w:vMerge w:val="continue"/>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6440" w:type="dxa"/>
            <w:vAlign w:val="bottom"/>
          </w:tcPr>
          <w:p>
            <w:pPr>
              <w:spacing w:after="0"/>
              <w:rPr>
                <w:sz w:val="20"/>
                <w:szCs w:val="20"/>
                <w:color w:val="auto"/>
              </w:rPr>
            </w:pPr>
            <w:r>
              <w:rPr>
                <w:rFonts w:ascii="Arial" w:cs="Arial" w:eastAsia="Arial" w:hAnsi="Arial"/>
                <w:sz w:val="18"/>
                <w:szCs w:val="18"/>
                <w:color w:val="auto"/>
              </w:rPr>
              <w:t>Equity compensation plans approved by stockholders (1)</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1,190,961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380.29</w:t>
            </w:r>
          </w:p>
        </w:tc>
        <w:tc>
          <w:tcPr>
            <w:tcW w:w="1580" w:type="dxa"/>
            <w:vAlign w:val="bottom"/>
          </w:tcPr>
          <w:p>
            <w:pPr>
              <w:jc w:val="right"/>
              <w:spacing w:after="0"/>
              <w:rPr>
                <w:sz w:val="20"/>
                <w:szCs w:val="20"/>
                <w:color w:val="auto"/>
              </w:rPr>
            </w:pPr>
            <w:r>
              <w:rPr>
                <w:rFonts w:ascii="Arial" w:cs="Arial" w:eastAsia="Arial" w:hAnsi="Arial"/>
                <w:sz w:val="18"/>
                <w:szCs w:val="18"/>
                <w:color w:val="auto"/>
              </w:rPr>
              <w:t>540,320</w:t>
            </w:r>
          </w:p>
        </w:tc>
        <w:tc>
          <w:tcPr>
            <w:tcW w:w="0" w:type="dxa"/>
            <w:vAlign w:val="bottom"/>
          </w:tcPr>
          <w:p>
            <w:pPr>
              <w:spacing w:after="0"/>
              <w:rPr>
                <w:sz w:val="1"/>
                <w:szCs w:val="1"/>
                <w:color w:val="auto"/>
              </w:rPr>
            </w:pPr>
          </w:p>
        </w:tc>
      </w:tr>
      <w:tr>
        <w:trPr>
          <w:trHeight w:val="378"/>
        </w:trPr>
        <w:tc>
          <w:tcPr>
            <w:tcW w:w="6440" w:type="dxa"/>
            <w:vAlign w:val="bottom"/>
          </w:tcPr>
          <w:p>
            <w:pPr>
              <w:spacing w:after="0"/>
              <w:rPr>
                <w:sz w:val="20"/>
                <w:szCs w:val="20"/>
                <w:color w:val="auto"/>
              </w:rPr>
            </w:pPr>
            <w:r>
              <w:rPr>
                <w:rFonts w:ascii="Arial" w:cs="Arial" w:eastAsia="Arial" w:hAnsi="Arial"/>
                <w:sz w:val="18"/>
                <w:szCs w:val="18"/>
                <w:color w:val="auto"/>
              </w:rPr>
              <w:t>________________</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firstLine="8"/>
        <w:spacing w:after="0" w:line="246"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includes 36,924 shares allocated to certain employees which vest upon attainment of specified earnings per share targets and specified total shareholder return targets.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Comparative Stock Performance</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The graph below compares the yearly percentage change in the Company’s cumulative total stockholder return on Capital Stock (as measured by dividing (i) the sum of (A) the cumulative amount of dividends for the period December 31, 2016, to December 31, 2021, assuming dividend reinvestment, and (B) the difference between the Company’s share price at December 31, 2016 and December 31, 2021; by (ii) the share price at December 31, 2016) with the cumulative total return, assuming reinvestment of dividends, of the (1) S&amp;P 500 Stock Index and (2) Dow Jones Industrial Diversified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219710</wp:posOffset>
            </wp:positionV>
            <wp:extent cx="6086475" cy="3385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647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6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16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16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r>
      <w:tr>
        <w:trPr>
          <w:trHeight w:val="210"/>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Chemed Corporation</w:t>
            </w:r>
          </w:p>
        </w:tc>
        <w:tc>
          <w:tcPr>
            <w:tcW w:w="16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100.00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152.32</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178.23</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277.30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337.17</w:t>
            </w:r>
          </w:p>
        </w:tc>
        <w:tc>
          <w:tcPr>
            <w:tcW w:w="9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335.90</w:t>
            </w:r>
          </w:p>
        </w:tc>
      </w:tr>
      <w:tr>
        <w:trPr>
          <w:trHeight w:val="210"/>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S&amp;P 500</w:t>
            </w:r>
          </w:p>
        </w:tc>
        <w:tc>
          <w:tcPr>
            <w:tcW w:w="16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100.00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121.83</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116.49</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153.17</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181.35</w:t>
            </w:r>
          </w:p>
        </w:tc>
        <w:tc>
          <w:tcPr>
            <w:tcW w:w="9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233.41</w:t>
            </w:r>
          </w:p>
        </w:tc>
      </w:tr>
      <w:tr>
        <w:trPr>
          <w:trHeight w:val="209"/>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Dow Jones Diversified Industrials</w:t>
            </w:r>
          </w:p>
        </w:tc>
        <w:tc>
          <w:tcPr>
            <w:tcW w:w="16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100.00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93.41</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69.98</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88.80</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99.85</w:t>
            </w:r>
          </w:p>
        </w:tc>
        <w:tc>
          <w:tcPr>
            <w:tcW w:w="9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109.82</w:t>
            </w:r>
          </w:p>
        </w:tc>
      </w:tr>
      <w:tr>
        <w:trPr>
          <w:trHeight w:val="952"/>
        </w:trPr>
        <w:tc>
          <w:tcPr>
            <w:tcW w:w="4060" w:type="dxa"/>
            <w:vAlign w:val="bottom"/>
          </w:tcPr>
          <w:p>
            <w:pPr>
              <w:spacing w:after="0"/>
              <w:rPr>
                <w:sz w:val="24"/>
                <w:szCs w:val="24"/>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8"/>
        </w:trPr>
        <w:tc>
          <w:tcPr>
            <w:tcW w:w="40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Conditions and Results of Operations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information called for by this Item is set forth on pages 75 through 97 of the 2021 Annual Report to Stockholders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Company’s primary market risk exposure relates to interest rate risk exposure through its variable interest line of credit. For each $10 million dollars borrowed under the credit facility, an increase or decrease of 100 basis points (1% point), increases or decreases the Company’s annual interest expense by $100,000.</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continually evaluates this interest rate exposure and periodically weighs the cost versus the benefit of fixing the variable interest rates through a variety of hedging techniques.</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market value of the Company’s long-term debt at December 31, 2021 is approximately $185.0 million which equals the carrying value as all outstanding debt is at a variable interest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consolidated financial statements, together with the report thereon of PricewaterhouseCoopers LLP dated February 28, 2022, appearing on pages 39 through 71 of the 2021 Annual Report to Stockholders are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 Company’s management, under the supervision of and with the participation of the Company’s President and Chief Executive Officer, Executive Vice President and Chief Financial Officer and Vice President and Controller,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President and Chief Executive Officer, Executive Vice President and Chief Financial Officer and Vice President and Controller have concluded that, as of the end of such period, the Company’s disclosure controls and procedures are effective and are reasonably designed to ensure that all material information relating to the Company required to be included in the Company’s reports filed or submitted under the Exchange Act is recorded, processed, summarized and reported within the time periods specified in the rules and forms of the Securities and Exchange Commission and that such information is accumulated and communicated to management, including the President and Chief Executive Officer, Executive Vice President and Chief Financial Officer and Vice President and Controller,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Refer to Management’s Report on Internal Control over Financial Reporting and Report of Independent Registered Public Accounting Firm on pages 39 through 41 of the Company’s 2021 Annual Report to Stockholders, which are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quarter ended December 31, 2021 that have materially affected, or are reasonably likely to materially affect, the Company’s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297" w:right="1440" w:bottom="1440" w:gutter="0" w:footer="0" w:header="0"/>
        </w:sectPr>
      </w:pP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type w:val="continuous"/>
        </w:sectPr>
      </w:pPr>
    </w:p>
    <w:bookmarkStart w:id="29" w:name="page30"/>
    <w:bookmarkEnd w:id="29"/>
    <w:p>
      <w:pPr>
        <w:ind w:left="55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of the Company are: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Kevin J. McNamara</w:t>
      </w:r>
    </w:p>
    <w:p>
      <w:pPr>
        <w:ind w:left="660"/>
        <w:spacing w:after="0" w:line="219" w:lineRule="auto"/>
        <w:rPr>
          <w:sz w:val="20"/>
          <w:szCs w:val="20"/>
          <w:color w:val="auto"/>
        </w:rPr>
      </w:pPr>
      <w:r>
        <w:rPr>
          <w:rFonts w:ascii="Arial" w:cs="Arial" w:eastAsia="Arial" w:hAnsi="Arial"/>
          <w:sz w:val="18"/>
          <w:szCs w:val="18"/>
          <w:color w:val="auto"/>
        </w:rPr>
        <w:t>Ron DeLyons</w:t>
      </w:r>
    </w:p>
    <w:p>
      <w:pPr>
        <w:ind w:left="660"/>
        <w:spacing w:after="0" w:line="219" w:lineRule="auto"/>
        <w:rPr>
          <w:sz w:val="20"/>
          <w:szCs w:val="20"/>
          <w:color w:val="auto"/>
        </w:rPr>
      </w:pPr>
      <w:r>
        <w:rPr>
          <w:rFonts w:ascii="Arial" w:cs="Arial" w:eastAsia="Arial" w:hAnsi="Arial"/>
          <w:sz w:val="18"/>
          <w:szCs w:val="18"/>
          <w:color w:val="auto"/>
        </w:rPr>
        <w:t>Joel F. Gemunder</w:t>
      </w:r>
    </w:p>
    <w:p>
      <w:pPr>
        <w:ind w:left="660"/>
        <w:spacing w:after="0" w:line="219" w:lineRule="auto"/>
        <w:rPr>
          <w:sz w:val="20"/>
          <w:szCs w:val="20"/>
          <w:color w:val="auto"/>
        </w:rPr>
      </w:pPr>
      <w:r>
        <w:rPr>
          <w:rFonts w:ascii="Arial" w:cs="Arial" w:eastAsia="Arial" w:hAnsi="Arial"/>
          <w:sz w:val="18"/>
          <w:szCs w:val="18"/>
          <w:color w:val="auto"/>
        </w:rPr>
        <w:t>Patrick P. Grace</w:t>
      </w:r>
    </w:p>
    <w:p>
      <w:pPr>
        <w:ind w:left="660"/>
        <w:spacing w:after="0" w:line="219" w:lineRule="auto"/>
        <w:rPr>
          <w:sz w:val="20"/>
          <w:szCs w:val="20"/>
          <w:color w:val="auto"/>
        </w:rPr>
      </w:pPr>
      <w:r>
        <w:rPr>
          <w:rFonts w:ascii="Arial" w:cs="Arial" w:eastAsia="Arial" w:hAnsi="Arial"/>
          <w:sz w:val="18"/>
          <w:szCs w:val="18"/>
          <w:color w:val="auto"/>
        </w:rPr>
        <w:t>Christopher J. Heaney</w:t>
      </w:r>
    </w:p>
    <w:p>
      <w:pPr>
        <w:ind w:left="660"/>
        <w:spacing w:after="0" w:line="219" w:lineRule="auto"/>
        <w:rPr>
          <w:sz w:val="20"/>
          <w:szCs w:val="20"/>
          <w:color w:val="auto"/>
        </w:rPr>
      </w:pPr>
      <w:r>
        <w:rPr>
          <w:rFonts w:ascii="Arial" w:cs="Arial" w:eastAsia="Arial" w:hAnsi="Arial"/>
          <w:sz w:val="18"/>
          <w:szCs w:val="18"/>
          <w:color w:val="auto"/>
        </w:rPr>
        <w:t>Thomas C. Hutton</w:t>
      </w:r>
    </w:p>
    <w:p>
      <w:pPr>
        <w:ind w:left="660"/>
        <w:spacing w:after="0" w:line="219" w:lineRule="auto"/>
        <w:rPr>
          <w:sz w:val="20"/>
          <w:szCs w:val="20"/>
          <w:color w:val="auto"/>
        </w:rPr>
      </w:pPr>
      <w:r>
        <w:rPr>
          <w:rFonts w:ascii="Arial" w:cs="Arial" w:eastAsia="Arial" w:hAnsi="Arial"/>
          <w:sz w:val="18"/>
          <w:szCs w:val="18"/>
          <w:color w:val="auto"/>
        </w:rPr>
        <w:t>Andrea R. Lindell</w:t>
      </w:r>
    </w:p>
    <w:p>
      <w:pPr>
        <w:ind w:left="660"/>
        <w:spacing w:after="0" w:line="220" w:lineRule="auto"/>
        <w:rPr>
          <w:sz w:val="20"/>
          <w:szCs w:val="20"/>
          <w:color w:val="auto"/>
        </w:rPr>
      </w:pPr>
      <w:r>
        <w:rPr>
          <w:rFonts w:ascii="Arial" w:cs="Arial" w:eastAsia="Arial" w:hAnsi="Arial"/>
          <w:sz w:val="18"/>
          <w:szCs w:val="18"/>
          <w:color w:val="auto"/>
        </w:rPr>
        <w:t>Thomas P. Rice</w:t>
      </w:r>
    </w:p>
    <w:p>
      <w:pPr>
        <w:ind w:left="660"/>
        <w:spacing w:after="0" w:line="219" w:lineRule="auto"/>
        <w:rPr>
          <w:sz w:val="20"/>
          <w:szCs w:val="20"/>
          <w:color w:val="auto"/>
        </w:rPr>
      </w:pPr>
      <w:r>
        <w:rPr>
          <w:rFonts w:ascii="Arial" w:cs="Arial" w:eastAsia="Arial" w:hAnsi="Arial"/>
          <w:sz w:val="18"/>
          <w:szCs w:val="18"/>
          <w:color w:val="auto"/>
        </w:rPr>
        <w:t>Donald E. Saunders</w:t>
      </w:r>
    </w:p>
    <w:p>
      <w:pPr>
        <w:ind w:left="660"/>
        <w:spacing w:after="0"/>
        <w:rPr>
          <w:sz w:val="20"/>
          <w:szCs w:val="20"/>
          <w:color w:val="auto"/>
        </w:rPr>
      </w:pPr>
      <w:r>
        <w:rPr>
          <w:rFonts w:ascii="Arial" w:cs="Arial" w:eastAsia="Arial" w:hAnsi="Arial"/>
          <w:sz w:val="18"/>
          <w:szCs w:val="18"/>
          <w:color w:val="auto"/>
        </w:rPr>
        <w:t>George J. Walsh III</w:t>
      </w:r>
    </w:p>
    <w:p>
      <w:pPr>
        <w:spacing w:after="0" w:line="15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additional information required under this Item is set forth in the Company’s 2022 Proxy Statement and in Part I hereof under the caption “Executive Officers of the Registrant” and is incorporated herein by reference.</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adopted a Code of Ethics that applies to the Company’s principal executive officer, principal financial officer, principal accounting officer, directors and employees. A copy of this Code of Ethics is incorporated with this report as Exhibit 14 and it is also posted on the Company’s Web site, www.chemed.com.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required under this Item is set forth in the Company’s 2022 Proxy Statement,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required under this Item is set forth in the Company’s 2022 Proxy Statement,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required under this Item is set forth in the Company’s 2022 Proxy Statement,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PricewaterhouseCoopers LLP charged the Company $2,165,000 for 2020 and $2,260,000 for 2021. These fees were for professional services rendered for the integrated audit of the Company’s annual financial statements and of its internal control over financial reporting, review of the financial statements included in the Company’s Forms 10-Q and review of documents filed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PricewaterhouseCoopers LLP charged the Company $150,000 for 2020 and $171,000 for 2021, for audit-related services. These services were related primarily to the audit of one of VITAS’ Florida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services were rendered in 2020 or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other services were rendered in 2020 or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jc w:val="both"/>
        <w:ind w:firstLine="648"/>
        <w:spacing w:after="0" w:line="235" w:lineRule="auto"/>
        <w:rPr>
          <w:sz w:val="20"/>
          <w:szCs w:val="20"/>
          <w:color w:val="auto"/>
        </w:rPr>
      </w:pPr>
      <w:r>
        <w:rPr>
          <w:rFonts w:ascii="Arial" w:cs="Arial" w:eastAsia="Arial" w:hAnsi="Arial"/>
          <w:sz w:val="18"/>
          <w:szCs w:val="18"/>
          <w:color w:val="auto"/>
        </w:rPr>
        <w:t>The Audit Committee has adopted a policy which requires the Committee’s pre-approval of audit and non-audit services performed by the independent auditor to assure that the provision of such services does not impair the auditor’s independence. The Audit Committee pre-approved all of the audit and non-audit services rendered by PricewaterhouseCoopers LLP as listed above.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ind w:left="526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tabs>
          <w:tab w:leader="none" w:pos="35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Exhibits</w:t>
      </w:r>
    </w:p>
    <w:p>
      <w:pPr>
        <w:spacing w:after="0" w:line="69" w:lineRule="exact"/>
        <w:rPr>
          <w:sz w:val="20"/>
          <w:szCs w:val="20"/>
          <w:color w:val="auto"/>
        </w:rPr>
      </w:pPr>
    </w:p>
    <w:p>
      <w:pPr>
        <w:ind w:left="2980"/>
        <w:spacing w:after="0"/>
        <w:tabs>
          <w:tab w:leader="none" w:pos="35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Certificate of Incorporation of Chemed Corporation.*</w:t>
      </w:r>
    </w:p>
    <w:p>
      <w:pPr>
        <w:spacing w:after="0" w:line="298" w:lineRule="exact"/>
        <w:rPr>
          <w:sz w:val="20"/>
          <w:szCs w:val="20"/>
          <w:color w:val="auto"/>
        </w:rPr>
      </w:pPr>
    </w:p>
    <w:p>
      <w:pPr>
        <w:ind w:left="2980"/>
        <w:spacing w:after="0"/>
        <w:tabs>
          <w:tab w:leader="none" w:pos="35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Certificate of Amendment to Certificate of Incorporation, dated May 15, 2006.*</w:t>
      </w:r>
    </w:p>
    <w:p>
      <w:pPr>
        <w:spacing w:after="0" w:line="298" w:lineRule="exact"/>
        <w:rPr>
          <w:sz w:val="20"/>
          <w:szCs w:val="20"/>
          <w:color w:val="auto"/>
        </w:rPr>
      </w:pPr>
    </w:p>
    <w:p>
      <w:pPr>
        <w:ind w:left="2980"/>
        <w:spacing w:after="0"/>
        <w:tabs>
          <w:tab w:leader="none" w:pos="35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3"/>
          <w:szCs w:val="13"/>
          <w:color w:val="auto"/>
        </w:rPr>
        <w:t>By-Laws of Chemed Corporation, as amended February 17, 2017.*</w:t>
      </w:r>
    </w:p>
    <w:p>
      <w:pPr>
        <w:spacing w:after="0" w:line="298" w:lineRule="exact"/>
        <w:rPr>
          <w:sz w:val="20"/>
          <w:szCs w:val="20"/>
          <w:color w:val="auto"/>
        </w:rPr>
      </w:pPr>
    </w:p>
    <w:p>
      <w:pPr>
        <w:ind w:left="2980"/>
        <w:spacing w:after="0"/>
        <w:tabs>
          <w:tab w:leader="none" w:pos="35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Description of Securities.*</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3"/>
          <w:szCs w:val="13"/>
          <w:color w:val="auto"/>
        </w:rPr>
        <w:t>2006 Stock Incentive Plan, as amended August 11, 2006.*,**</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2010 Stock Incentive Plan.*,**</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color w:val="auto"/>
        </w:rPr>
        <w:t>2015 Stock Incentive Plan*,**</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3"/>
          <w:szCs w:val="13"/>
          <w:color w:val="auto"/>
        </w:rPr>
        <w:t>2018 Stock Incentive Plan*,**</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3"/>
          <w:szCs w:val="13"/>
          <w:color w:val="auto"/>
        </w:rPr>
        <w:t>Employment Agreement with David P. Williams dated December 1, 2006.*,**</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3"/>
          <w:szCs w:val="13"/>
          <w:color w:val="auto"/>
        </w:rPr>
        <w:t>First Amendment to Employment Agreement with David P. Williams dated July 9, 2009.*,**</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3"/>
          <w:szCs w:val="13"/>
          <w:color w:val="auto"/>
        </w:rPr>
        <w:t>Consulting Agreement with Timothy S. O'Toole dated June 16, 2016.*,**</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3"/>
          <w:szCs w:val="13"/>
          <w:color w:val="auto"/>
        </w:rPr>
        <w:t>Employment Agreement with Kevin J. McNamara dated May 3, 2008.*,**</w:t>
      </w:r>
    </w:p>
    <w:p>
      <w:pPr>
        <w:spacing w:after="0" w:line="298" w:lineRule="exact"/>
        <w:rPr>
          <w:sz w:val="20"/>
          <w:szCs w:val="20"/>
          <w:color w:val="auto"/>
        </w:rPr>
      </w:pPr>
    </w:p>
    <w:p>
      <w:pPr>
        <w:ind w:left="2900"/>
        <w:spacing w:after="0"/>
        <w:tabs>
          <w:tab w:leader="none" w:pos="352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3"/>
          <w:szCs w:val="13"/>
          <w:color w:val="auto"/>
        </w:rPr>
        <w:t>First Amendment to Employment Agreement with Kevin J. McNamara dated July 9, 2009.*,**</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2"/>
          <w:szCs w:val="12"/>
          <w:color w:val="auto"/>
        </w:rPr>
        <w:t>Excess Benefits Plan, as restated and amended, effective June 1, 2001.*,**</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10.11</w:t>
      </w:r>
      <w:r>
        <w:rPr>
          <w:sz w:val="20"/>
          <w:szCs w:val="20"/>
          <w:color w:val="auto"/>
        </w:rPr>
        <w:tab/>
      </w:r>
      <w:r>
        <w:rPr>
          <w:rFonts w:ascii="Arial" w:cs="Arial" w:eastAsia="Arial" w:hAnsi="Arial"/>
          <w:sz w:val="13"/>
          <w:szCs w:val="13"/>
          <w:color w:val="auto"/>
        </w:rPr>
        <w:t>Amendment No. 1 to Excess Benefits Plan, effective July 1, 2001.*,**</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3"/>
          <w:szCs w:val="13"/>
          <w:color w:val="auto"/>
        </w:rPr>
        <w:t>Amendment No. 2 to Excess Benefits Plan, effective November 7, 2003.*,**</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3"/>
          <w:szCs w:val="13"/>
          <w:color w:val="auto"/>
        </w:rPr>
        <w:t>Non-Employee Directors’ Deferred Compensation Plan.*,**</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3"/>
          <w:szCs w:val="13"/>
          <w:color w:val="auto"/>
        </w:rPr>
        <w:t>Chemed/Roto-Rooter Savings &amp; Retirement Plan, effective January 1, 1999.*,**</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10.15</w:t>
      </w:r>
      <w:r>
        <w:rPr>
          <w:sz w:val="20"/>
          <w:szCs w:val="20"/>
          <w:color w:val="auto"/>
        </w:rPr>
        <w:tab/>
      </w:r>
      <w:r>
        <w:rPr>
          <w:rFonts w:ascii="Arial" w:cs="Arial" w:eastAsia="Arial" w:hAnsi="Arial"/>
          <w:sz w:val="13"/>
          <w:szCs w:val="13"/>
          <w:color w:val="auto"/>
        </w:rPr>
        <w:t>First Amendment to Chemed/Roto-Rooter Savings &amp; Retirement Plan, effective September 6, 2000.*,**</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10.16</w:t>
      </w:r>
      <w:r>
        <w:rPr>
          <w:sz w:val="20"/>
          <w:szCs w:val="20"/>
          <w:color w:val="auto"/>
        </w:rPr>
        <w:tab/>
      </w:r>
      <w:r>
        <w:rPr>
          <w:rFonts w:ascii="Arial" w:cs="Arial" w:eastAsia="Arial" w:hAnsi="Arial"/>
          <w:sz w:val="13"/>
          <w:szCs w:val="13"/>
          <w:color w:val="auto"/>
        </w:rPr>
        <w:t>Second Amendment to Chemed/Roto-Rooter Savings &amp; Retirement Plan, effective January 1, 2001.*,**</w:t>
      </w:r>
    </w:p>
    <w:p>
      <w:pPr>
        <w:spacing w:after="0" w:line="298" w:lineRule="exact"/>
        <w:rPr>
          <w:sz w:val="20"/>
          <w:szCs w:val="20"/>
          <w:color w:val="auto"/>
        </w:rPr>
      </w:pPr>
    </w:p>
    <w:p>
      <w:pPr>
        <w:jc w:val="right"/>
        <w:ind w:right="479"/>
        <w:spacing w:after="0"/>
        <w:tabs>
          <w:tab w:leader="none" w:pos="6100" w:val="left"/>
        </w:tabs>
        <w:rPr>
          <w:sz w:val="20"/>
          <w:szCs w:val="20"/>
          <w:color w:val="auto"/>
        </w:rPr>
      </w:pPr>
      <w:r>
        <w:rPr>
          <w:rFonts w:ascii="Arial" w:cs="Arial" w:eastAsia="Arial" w:hAnsi="Arial"/>
          <w:sz w:val="14"/>
          <w:szCs w:val="14"/>
          <w:color w:val="auto"/>
        </w:rPr>
        <w:t>10.17</w:t>
      </w:r>
      <w:r>
        <w:rPr>
          <w:sz w:val="20"/>
          <w:szCs w:val="20"/>
          <w:color w:val="auto"/>
        </w:rPr>
        <w:tab/>
      </w:r>
      <w:r>
        <w:rPr>
          <w:rFonts w:ascii="Arial" w:cs="Arial" w:eastAsia="Arial" w:hAnsi="Arial"/>
          <w:sz w:val="13"/>
          <w:szCs w:val="13"/>
          <w:color w:val="auto"/>
        </w:rPr>
        <w:t>Third Amendment to Chemed/Roto-Rooter Savings &amp; Retirement Plan, effective December 12, 2001.*,**</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10.18</w:t>
      </w:r>
      <w:r>
        <w:rPr>
          <w:sz w:val="20"/>
          <w:szCs w:val="20"/>
          <w:color w:val="auto"/>
        </w:rPr>
        <w:tab/>
      </w:r>
      <w:r>
        <w:rPr>
          <w:rFonts w:ascii="Arial" w:cs="Arial" w:eastAsia="Arial" w:hAnsi="Arial"/>
          <w:sz w:val="13"/>
          <w:szCs w:val="13"/>
          <w:color w:val="auto"/>
        </w:rPr>
        <w:t>Directors Emeriti Plan.*,**</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10.19</w:t>
      </w:r>
      <w:r>
        <w:rPr>
          <w:sz w:val="20"/>
          <w:szCs w:val="20"/>
          <w:color w:val="auto"/>
        </w:rPr>
        <w:tab/>
      </w:r>
      <w:r>
        <w:rPr>
          <w:rFonts w:ascii="Arial" w:cs="Arial" w:eastAsia="Arial" w:hAnsi="Arial"/>
          <w:sz w:val="12"/>
          <w:szCs w:val="12"/>
          <w:color w:val="auto"/>
        </w:rPr>
        <w:t>Chemed Corporation Change in Control Severance Plan, as amended August 3, 2018.**</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10.20</w:t>
      </w:r>
      <w:r>
        <w:rPr>
          <w:sz w:val="20"/>
          <w:szCs w:val="20"/>
          <w:color w:val="auto"/>
        </w:rPr>
        <w:tab/>
      </w:r>
      <w:r>
        <w:rPr>
          <w:rFonts w:ascii="Arial" w:cs="Arial" w:eastAsia="Arial" w:hAnsi="Arial"/>
          <w:sz w:val="13"/>
          <w:szCs w:val="13"/>
          <w:color w:val="auto"/>
        </w:rPr>
        <w:t>Chemed Corporation Senior Executive Severance Policy, as amended August 3, 2018**</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10.21</w:t>
      </w:r>
      <w:r>
        <w:rPr>
          <w:sz w:val="20"/>
          <w:szCs w:val="20"/>
          <w:color w:val="auto"/>
        </w:rPr>
        <w:tab/>
      </w:r>
      <w:r>
        <w:rPr>
          <w:rFonts w:ascii="Arial" w:cs="Arial" w:eastAsia="Arial" w:hAnsi="Arial"/>
          <w:sz w:val="13"/>
          <w:szCs w:val="13"/>
          <w:color w:val="auto"/>
        </w:rPr>
        <w:t>Roto-Rooter Deferred Compensation Plan No. 1, as amended January 1, 1998.*,**</w:t>
      </w: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32" w:name="page33"/>
    <w:bookmarkEnd w:id="32"/>
    <w:p>
      <w:pPr>
        <w:ind w:left="2840"/>
        <w:spacing w:after="0"/>
        <w:tabs>
          <w:tab w:leader="none" w:pos="3520" w:val="left"/>
        </w:tabs>
        <w:rPr>
          <w:sz w:val="20"/>
          <w:szCs w:val="20"/>
          <w:color w:val="auto"/>
        </w:rPr>
      </w:pPr>
      <w:r>
        <w:rPr>
          <w:rFonts w:ascii="Arial" w:cs="Arial" w:eastAsia="Arial" w:hAnsi="Arial"/>
          <w:sz w:val="14"/>
          <w:szCs w:val="14"/>
          <w:color w:val="auto"/>
        </w:rPr>
        <w:t>10.22</w:t>
      </w:r>
      <w:r>
        <w:rPr>
          <w:sz w:val="20"/>
          <w:szCs w:val="20"/>
          <w:color w:val="auto"/>
        </w:rPr>
        <w:tab/>
      </w:r>
      <w:r>
        <w:rPr>
          <w:rFonts w:ascii="Arial" w:cs="Arial" w:eastAsia="Arial" w:hAnsi="Arial"/>
          <w:sz w:val="13"/>
          <w:szCs w:val="13"/>
          <w:color w:val="auto"/>
        </w:rPr>
        <w:t>Roto-Rooter Deferred Compensation Plan No. 2.*,**</w:t>
      </w:r>
    </w:p>
    <w:p>
      <w:pPr>
        <w:spacing w:after="0" w:line="297"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10.23</w:t>
      </w:r>
      <w:r>
        <w:rPr>
          <w:sz w:val="20"/>
          <w:szCs w:val="20"/>
          <w:color w:val="auto"/>
        </w:rPr>
        <w:tab/>
      </w:r>
      <w:r>
        <w:rPr>
          <w:rFonts w:ascii="Arial" w:cs="Arial" w:eastAsia="Arial" w:hAnsi="Arial"/>
          <w:sz w:val="13"/>
          <w:szCs w:val="13"/>
          <w:color w:val="auto"/>
        </w:rPr>
        <w:t>Form of Performance-Based Restricted Stock Units Award*,**</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10.24</w:t>
      </w:r>
      <w:r>
        <w:rPr>
          <w:sz w:val="20"/>
          <w:szCs w:val="20"/>
          <w:color w:val="auto"/>
        </w:rPr>
        <w:tab/>
      </w:r>
      <w:r>
        <w:rPr>
          <w:rFonts w:ascii="Arial" w:cs="Arial" w:eastAsia="Arial" w:hAnsi="Arial"/>
          <w:sz w:val="13"/>
          <w:szCs w:val="13"/>
          <w:color w:val="auto"/>
        </w:rPr>
        <w:t>Form of Stock Option Grant, pre-2013.*,**</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10.25</w:t>
      </w:r>
      <w:r>
        <w:rPr>
          <w:sz w:val="20"/>
          <w:szCs w:val="20"/>
          <w:color w:val="auto"/>
        </w:rPr>
        <w:tab/>
      </w:r>
      <w:r>
        <w:rPr>
          <w:rFonts w:ascii="Arial" w:cs="Arial" w:eastAsia="Arial" w:hAnsi="Arial"/>
          <w:sz w:val="13"/>
          <w:szCs w:val="13"/>
          <w:color w:val="auto"/>
        </w:rPr>
        <w:t>Form of Stock Option Grant, 2013.*,**</w:t>
      </w:r>
    </w:p>
    <w:p>
      <w:pPr>
        <w:spacing w:after="0" w:line="298"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10.26</w:t>
      </w:r>
      <w:r>
        <w:rPr>
          <w:sz w:val="20"/>
          <w:szCs w:val="20"/>
          <w:color w:val="auto"/>
        </w:rPr>
        <w:tab/>
      </w:r>
      <w:r>
        <w:rPr>
          <w:rFonts w:ascii="Arial" w:cs="Arial" w:eastAsia="Arial" w:hAnsi="Arial"/>
          <w:sz w:val="13"/>
          <w:szCs w:val="13"/>
          <w:color w:val="auto"/>
        </w:rPr>
        <w:t>Form of Stock Option Grant, 2015. *,**</w:t>
      </w:r>
    </w:p>
    <w:p>
      <w:pPr>
        <w:spacing w:after="0" w:line="339" w:lineRule="exact"/>
        <w:rPr>
          <w:sz w:val="20"/>
          <w:szCs w:val="20"/>
          <w:color w:val="auto"/>
        </w:rPr>
      </w:pPr>
    </w:p>
    <w:p>
      <w:pPr>
        <w:ind w:left="2840"/>
        <w:spacing w:after="0"/>
        <w:tabs>
          <w:tab w:leader="none" w:pos="3520" w:val="left"/>
        </w:tabs>
        <w:rPr>
          <w:sz w:val="20"/>
          <w:szCs w:val="20"/>
          <w:color w:val="auto"/>
        </w:rPr>
      </w:pPr>
      <w:r>
        <w:rPr>
          <w:rFonts w:ascii="Arial" w:cs="Arial" w:eastAsia="Arial" w:hAnsi="Arial"/>
          <w:sz w:val="14"/>
          <w:szCs w:val="14"/>
          <w:color w:val="auto"/>
        </w:rPr>
        <w:t>10.27</w:t>
      </w:r>
      <w:r>
        <w:rPr>
          <w:sz w:val="20"/>
          <w:szCs w:val="20"/>
          <w:color w:val="auto"/>
        </w:rPr>
        <w:tab/>
      </w:r>
      <w:r>
        <w:rPr>
          <w:rFonts w:ascii="Arial" w:cs="Arial" w:eastAsia="Arial" w:hAnsi="Arial"/>
          <w:sz w:val="13"/>
          <w:szCs w:val="13"/>
          <w:color w:val="auto"/>
        </w:rPr>
        <w:t>Form of Stock Option Grant, 2018. *,**</w:t>
      </w:r>
    </w:p>
    <w:p>
      <w:pPr>
        <w:spacing w:after="0" w:line="339" w:lineRule="exact"/>
        <w:rPr>
          <w:sz w:val="20"/>
          <w:szCs w:val="20"/>
          <w:color w:val="auto"/>
        </w:rPr>
      </w:pPr>
    </w:p>
    <w:p>
      <w:pPr>
        <w:ind w:left="3540" w:right="60" w:hanging="700"/>
        <w:spacing w:after="0" w:line="229" w:lineRule="auto"/>
        <w:tabs>
          <w:tab w:leader="none" w:pos="3520" w:val="left"/>
        </w:tabs>
        <w:rPr>
          <w:sz w:val="20"/>
          <w:szCs w:val="20"/>
          <w:color w:val="auto"/>
        </w:rPr>
      </w:pPr>
      <w:r>
        <w:rPr>
          <w:rFonts w:ascii="Arial" w:cs="Arial" w:eastAsia="Arial" w:hAnsi="Arial"/>
          <w:sz w:val="14"/>
          <w:szCs w:val="14"/>
          <w:color w:val="auto"/>
        </w:rPr>
        <w:t>10.28</w:t>
      </w:r>
      <w:r>
        <w:rPr>
          <w:sz w:val="20"/>
          <w:szCs w:val="20"/>
          <w:color w:val="auto"/>
        </w:rPr>
        <w:tab/>
      </w:r>
      <w:r>
        <w:rPr>
          <w:rFonts w:ascii="Arial" w:cs="Arial" w:eastAsia="Arial" w:hAnsi="Arial"/>
          <w:sz w:val="14"/>
          <w:szCs w:val="14"/>
          <w:color w:val="auto"/>
        </w:rPr>
        <w:t>Settlement Agreement, effective October 30, 2017 by and among the United States of America, acting through the United States Department of Justice and on behalf of the Office of the Inspector General of the Department of Health and Human Services, VITAS Hospice Services, L.L.C., VITAS Healthcare Corporation, VITAS Healthcare Corporation of California, VITAS Healthcare Corporation of Illinois, VITAS Healthcare Corporation of Florida, Vitas Healthcare Corporation of Ohio, VITAS Healthcare Corporation of Atlantic, VITAS Healthcare of Texas, L.P., VITAS Healthcare Corporation Midwest, VITAS Healthcare Corporation of Georgia, Chemed Corporation, and the various Relators named therein.*</w:t>
      </w:r>
    </w:p>
    <w:p>
      <w:pPr>
        <w:spacing w:after="0" w:line="200" w:lineRule="exact"/>
        <w:rPr>
          <w:sz w:val="20"/>
          <w:szCs w:val="20"/>
          <w:color w:val="auto"/>
        </w:rPr>
      </w:pPr>
    </w:p>
    <w:p>
      <w:pPr>
        <w:spacing w:after="0" w:line="323" w:lineRule="exact"/>
        <w:rPr>
          <w:sz w:val="20"/>
          <w:szCs w:val="20"/>
          <w:color w:val="auto"/>
        </w:rPr>
      </w:pPr>
    </w:p>
    <w:p>
      <w:pPr>
        <w:ind w:left="3540" w:right="20" w:hanging="700"/>
        <w:spacing w:after="0" w:line="231" w:lineRule="auto"/>
        <w:tabs>
          <w:tab w:leader="none" w:pos="3520" w:val="left"/>
        </w:tabs>
        <w:rPr>
          <w:sz w:val="20"/>
          <w:szCs w:val="20"/>
          <w:color w:val="auto"/>
        </w:rPr>
      </w:pPr>
      <w:r>
        <w:rPr>
          <w:rFonts w:ascii="Arial" w:cs="Arial" w:eastAsia="Arial" w:hAnsi="Arial"/>
          <w:sz w:val="14"/>
          <w:szCs w:val="14"/>
          <w:color w:val="auto"/>
        </w:rPr>
        <w:t>10.29</w:t>
      </w:r>
      <w:r>
        <w:rPr>
          <w:sz w:val="20"/>
          <w:szCs w:val="20"/>
          <w:color w:val="auto"/>
        </w:rPr>
        <w:tab/>
      </w:r>
      <w:r>
        <w:rPr>
          <w:rFonts w:ascii="Arial" w:cs="Arial" w:eastAsia="Arial" w:hAnsi="Arial"/>
          <w:sz w:val="14"/>
          <w:szCs w:val="14"/>
          <w:color w:val="auto"/>
        </w:rPr>
        <w:t>Corporate Integrity Agreement, effective October 30, 2017 between the Office of Inspector General of the Department of Health and Human Services and VITAS Hospice Services, L.L.C., VITAS Healthcare Corporation, VITAS Healthcare Corporation of California, VITAS Healthcare Corporation of Illinois, VITAS Healthcare Corporation of Florida, VITAS Healthcare Corporation of Ohio, VITAS Healthcare Corporation of Atlantic, VITAS Healthcare of Texas, L.P., VITAS Healthcare Corporation Midwest and VITAS Healthcare Corporation of Georgia.*</w:t>
      </w:r>
    </w:p>
    <w:p>
      <w:pPr>
        <w:spacing w:after="0" w:line="200" w:lineRule="exact"/>
        <w:rPr>
          <w:sz w:val="20"/>
          <w:szCs w:val="20"/>
          <w:color w:val="auto"/>
        </w:rPr>
      </w:pPr>
    </w:p>
    <w:p>
      <w:pPr>
        <w:spacing w:after="0" w:line="308" w:lineRule="exact"/>
        <w:rPr>
          <w:sz w:val="20"/>
          <w:szCs w:val="20"/>
          <w:color w:val="auto"/>
        </w:rPr>
      </w:pPr>
    </w:p>
    <w:p>
      <w:pPr>
        <w:ind w:left="3540" w:right="60" w:hanging="700"/>
        <w:spacing w:after="0" w:line="253" w:lineRule="auto"/>
        <w:tabs>
          <w:tab w:leader="none" w:pos="3520" w:val="left"/>
        </w:tabs>
        <w:rPr>
          <w:sz w:val="20"/>
          <w:szCs w:val="20"/>
          <w:color w:val="auto"/>
        </w:rPr>
      </w:pPr>
      <w:r>
        <w:rPr>
          <w:rFonts w:ascii="Arial" w:cs="Arial" w:eastAsia="Arial" w:hAnsi="Arial"/>
          <w:sz w:val="14"/>
          <w:szCs w:val="14"/>
          <w:color w:val="auto"/>
        </w:rPr>
        <w:t>10.30</w:t>
      </w:r>
      <w:r>
        <w:rPr>
          <w:sz w:val="20"/>
          <w:szCs w:val="20"/>
          <w:color w:val="auto"/>
        </w:rPr>
        <w:tab/>
      </w:r>
      <w:r>
        <w:rPr>
          <w:rFonts w:ascii="Arial" w:cs="Arial" w:eastAsia="Arial" w:hAnsi="Arial"/>
          <w:sz w:val="14"/>
          <w:szCs w:val="14"/>
          <w:color w:val="auto"/>
        </w:rPr>
        <w:t>Fourth Amended and Restated Credit Agreement by and among Chemed Corporation, JP Morgan Chase Bank NA, and other lenders as of June 30, 2018, exhibits and schedules thereto.*</w:t>
      </w:r>
    </w:p>
    <w:p>
      <w:pPr>
        <w:spacing w:after="0" w:line="349" w:lineRule="exact"/>
        <w:rPr>
          <w:sz w:val="20"/>
          <w:szCs w:val="20"/>
          <w:color w:val="auto"/>
        </w:rPr>
      </w:pPr>
    </w:p>
    <w:p>
      <w:pPr>
        <w:ind w:left="3540" w:hanging="530"/>
        <w:spacing w:after="0"/>
        <w:tabs>
          <w:tab w:leader="none" w:pos="3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2021 Annual Report to Stockholders.</w:t>
      </w:r>
    </w:p>
    <w:p>
      <w:pPr>
        <w:spacing w:after="0" w:line="298" w:lineRule="exact"/>
        <w:rPr>
          <w:rFonts w:ascii="Arial" w:cs="Arial" w:eastAsia="Arial" w:hAnsi="Arial"/>
          <w:sz w:val="14"/>
          <w:szCs w:val="14"/>
          <w:color w:val="auto"/>
        </w:rPr>
      </w:pPr>
    </w:p>
    <w:p>
      <w:pPr>
        <w:ind w:left="3540" w:hanging="530"/>
        <w:spacing w:after="0"/>
        <w:tabs>
          <w:tab w:leader="none" w:pos="3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Policies on Business Ethics of Chemed Corporation</w:t>
      </w:r>
    </w:p>
    <w:p>
      <w:pPr>
        <w:spacing w:after="0" w:line="298" w:lineRule="exact"/>
        <w:rPr>
          <w:rFonts w:ascii="Arial" w:cs="Arial" w:eastAsia="Arial" w:hAnsi="Arial"/>
          <w:sz w:val="14"/>
          <w:szCs w:val="14"/>
          <w:color w:val="auto"/>
        </w:rPr>
      </w:pPr>
    </w:p>
    <w:p>
      <w:pPr>
        <w:ind w:left="3540" w:hanging="530"/>
        <w:spacing w:after="0"/>
        <w:tabs>
          <w:tab w:leader="none" w:pos="3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Subsidiaries of Chemed Corporation.</w:t>
      </w:r>
    </w:p>
    <w:p>
      <w:pPr>
        <w:spacing w:after="0" w:line="298" w:lineRule="exact"/>
        <w:rPr>
          <w:rFonts w:ascii="Arial" w:cs="Arial" w:eastAsia="Arial" w:hAnsi="Arial"/>
          <w:sz w:val="14"/>
          <w:szCs w:val="14"/>
          <w:color w:val="auto"/>
        </w:rPr>
      </w:pPr>
    </w:p>
    <w:p>
      <w:pPr>
        <w:ind w:left="3540" w:hanging="530"/>
        <w:spacing w:after="0"/>
        <w:tabs>
          <w:tab w:leader="none" w:pos="3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Consent of Independent Registered Public Accounting Firm.</w:t>
      </w:r>
    </w:p>
    <w:p>
      <w:pPr>
        <w:spacing w:after="0" w:line="298" w:lineRule="exact"/>
        <w:rPr>
          <w:rFonts w:ascii="Arial" w:cs="Arial" w:eastAsia="Arial" w:hAnsi="Arial"/>
          <w:sz w:val="14"/>
          <w:szCs w:val="14"/>
          <w:color w:val="auto"/>
        </w:rPr>
      </w:pPr>
    </w:p>
    <w:p>
      <w:pPr>
        <w:ind w:left="3540" w:hanging="530"/>
        <w:spacing w:after="0"/>
        <w:tabs>
          <w:tab w:leader="none" w:pos="3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Powers of Attorney.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31.1</w:t>
            </w:r>
          </w:p>
        </w:tc>
        <w:tc>
          <w:tcPr>
            <w:tcW w:w="7900" w:type="dxa"/>
            <w:vAlign w:val="bottom"/>
          </w:tcPr>
          <w:p>
            <w:pPr>
              <w:ind w:left="200"/>
              <w:spacing w:after="0"/>
              <w:rPr>
                <w:sz w:val="20"/>
                <w:szCs w:val="20"/>
                <w:color w:val="auto"/>
              </w:rPr>
            </w:pPr>
            <w:r>
              <w:rPr>
                <w:rFonts w:ascii="Arial" w:cs="Arial" w:eastAsia="Arial" w:hAnsi="Arial"/>
                <w:sz w:val="14"/>
                <w:szCs w:val="14"/>
                <w:color w:val="auto"/>
              </w:rPr>
              <w:t>Certification by Kevin J. McNamara pursuant to Rule 13a-14(a)/15d-14(a) of the Exchange Act of 1934.</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31.2</w:t>
            </w:r>
          </w:p>
        </w:tc>
        <w:tc>
          <w:tcPr>
            <w:tcW w:w="7900" w:type="dxa"/>
            <w:vAlign w:val="bottom"/>
          </w:tcPr>
          <w:p>
            <w:pPr>
              <w:ind w:left="200"/>
              <w:spacing w:after="0"/>
              <w:rPr>
                <w:sz w:val="20"/>
                <w:szCs w:val="20"/>
                <w:color w:val="auto"/>
              </w:rPr>
            </w:pPr>
            <w:r>
              <w:rPr>
                <w:rFonts w:ascii="Arial" w:cs="Arial" w:eastAsia="Arial" w:hAnsi="Arial"/>
                <w:sz w:val="14"/>
                <w:szCs w:val="14"/>
                <w:color w:val="auto"/>
              </w:rPr>
              <w:t>Certification by David P. Williams pursuant to Rule 13a-14(a)/15d-14(a) of the Exchange Act of 1934.</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31.3</w:t>
            </w:r>
          </w:p>
        </w:tc>
        <w:tc>
          <w:tcPr>
            <w:tcW w:w="7900" w:type="dxa"/>
            <w:vAlign w:val="bottom"/>
          </w:tcPr>
          <w:p>
            <w:pPr>
              <w:ind w:left="200"/>
              <w:spacing w:after="0"/>
              <w:rPr>
                <w:sz w:val="20"/>
                <w:szCs w:val="20"/>
                <w:color w:val="auto"/>
              </w:rPr>
            </w:pPr>
            <w:r>
              <w:rPr>
                <w:rFonts w:ascii="Arial" w:cs="Arial" w:eastAsia="Arial" w:hAnsi="Arial"/>
                <w:sz w:val="14"/>
                <w:szCs w:val="14"/>
                <w:color w:val="auto"/>
              </w:rPr>
              <w:t>Certification by Michael D. Witzeman pursuant to Rule 13a-14(a)/15d-14(a) of the Exchange Act of 1934.</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32.1</w:t>
            </w:r>
          </w:p>
        </w:tc>
        <w:tc>
          <w:tcPr>
            <w:tcW w:w="7900" w:type="dxa"/>
            <w:vAlign w:val="bottom"/>
          </w:tcPr>
          <w:p>
            <w:pPr>
              <w:ind w:left="200"/>
              <w:spacing w:after="0"/>
              <w:rPr>
                <w:sz w:val="20"/>
                <w:szCs w:val="20"/>
                <w:color w:val="auto"/>
              </w:rPr>
            </w:pPr>
            <w:r>
              <w:rPr>
                <w:rFonts w:ascii="Arial" w:cs="Arial" w:eastAsia="Arial" w:hAnsi="Arial"/>
                <w:sz w:val="14"/>
                <w:szCs w:val="14"/>
                <w:color w:val="auto"/>
              </w:rPr>
              <w:t>Certification by Kevin J. McNamara pursuant to Section 906 of the Sarbanes-Oxley Act of 2002.</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32.2</w:t>
            </w:r>
          </w:p>
        </w:tc>
        <w:tc>
          <w:tcPr>
            <w:tcW w:w="7900" w:type="dxa"/>
            <w:vAlign w:val="bottom"/>
          </w:tcPr>
          <w:p>
            <w:pPr>
              <w:ind w:left="200"/>
              <w:spacing w:after="0"/>
              <w:rPr>
                <w:sz w:val="20"/>
                <w:szCs w:val="20"/>
                <w:color w:val="auto"/>
              </w:rPr>
            </w:pPr>
            <w:r>
              <w:rPr>
                <w:rFonts w:ascii="Arial" w:cs="Arial" w:eastAsia="Arial" w:hAnsi="Arial"/>
                <w:sz w:val="14"/>
                <w:szCs w:val="14"/>
                <w:color w:val="auto"/>
              </w:rPr>
              <w:t>Certification by David P. Williams pursuant to Section 906 of the Sarbanes-Oxley Act of 2002.</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32.3</w:t>
            </w:r>
          </w:p>
        </w:tc>
        <w:tc>
          <w:tcPr>
            <w:tcW w:w="7900" w:type="dxa"/>
            <w:vAlign w:val="bottom"/>
          </w:tcPr>
          <w:p>
            <w:pPr>
              <w:ind w:left="200"/>
              <w:spacing w:after="0"/>
              <w:rPr>
                <w:sz w:val="20"/>
                <w:szCs w:val="20"/>
                <w:color w:val="auto"/>
              </w:rPr>
            </w:pPr>
            <w:r>
              <w:rPr>
                <w:rFonts w:ascii="Arial" w:cs="Arial" w:eastAsia="Arial" w:hAnsi="Arial"/>
                <w:sz w:val="14"/>
                <w:szCs w:val="14"/>
                <w:color w:val="auto"/>
              </w:rPr>
              <w:t>Certification by Michael D. Witzeman pursuant to Section 906 of the Sarbanes-Oxley Act of 2002.</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101.INS</w:t>
            </w:r>
          </w:p>
        </w:tc>
        <w:tc>
          <w:tcPr>
            <w:tcW w:w="7900" w:type="dxa"/>
            <w:vAlign w:val="bottom"/>
          </w:tcPr>
          <w:p>
            <w:pPr>
              <w:ind w:left="200"/>
              <w:spacing w:after="0"/>
              <w:rPr>
                <w:sz w:val="20"/>
                <w:szCs w:val="20"/>
                <w:color w:val="auto"/>
              </w:rPr>
            </w:pPr>
            <w:r>
              <w:rPr>
                <w:rFonts w:ascii="Arial" w:cs="Arial" w:eastAsia="Arial" w:hAnsi="Arial"/>
                <w:sz w:val="14"/>
                <w:szCs w:val="14"/>
                <w:color w:val="auto"/>
              </w:rPr>
              <w:t>XBRL Instance Document*</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101.SCH</w:t>
            </w:r>
          </w:p>
        </w:tc>
        <w:tc>
          <w:tcPr>
            <w:tcW w:w="7900" w:type="dxa"/>
            <w:vAlign w:val="bottom"/>
          </w:tcPr>
          <w:p>
            <w:pPr>
              <w:ind w:left="200"/>
              <w:spacing w:after="0"/>
              <w:rPr>
                <w:sz w:val="20"/>
                <w:szCs w:val="20"/>
                <w:color w:val="auto"/>
              </w:rPr>
            </w:pPr>
            <w:r>
              <w:rPr>
                <w:rFonts w:ascii="Arial" w:cs="Arial" w:eastAsia="Arial" w:hAnsi="Arial"/>
                <w:sz w:val="14"/>
                <w:szCs w:val="14"/>
                <w:color w:val="auto"/>
              </w:rPr>
              <w:t>XBRL Extension Schema*</w:t>
            </w:r>
          </w:p>
        </w:tc>
      </w:tr>
      <w:tr>
        <w:trPr>
          <w:trHeight w:val="459"/>
        </w:trPr>
        <w:tc>
          <w:tcPr>
            <w:tcW w:w="3340" w:type="dxa"/>
            <w:vAlign w:val="bottom"/>
          </w:tcPr>
          <w:p>
            <w:pPr>
              <w:jc w:val="right"/>
              <w:ind w:right="108"/>
              <w:spacing w:after="0"/>
              <w:rPr>
                <w:sz w:val="20"/>
                <w:szCs w:val="20"/>
                <w:color w:val="auto"/>
              </w:rPr>
            </w:pPr>
            <w:r>
              <w:rPr>
                <w:rFonts w:ascii="Arial" w:cs="Arial" w:eastAsia="Arial" w:hAnsi="Arial"/>
                <w:sz w:val="14"/>
                <w:szCs w:val="14"/>
                <w:color w:val="auto"/>
              </w:rPr>
              <w:t>101.CAL</w:t>
            </w:r>
          </w:p>
        </w:tc>
        <w:tc>
          <w:tcPr>
            <w:tcW w:w="7900" w:type="dxa"/>
            <w:vAlign w:val="bottom"/>
          </w:tcPr>
          <w:p>
            <w:pPr>
              <w:ind w:left="200"/>
              <w:spacing w:after="0"/>
              <w:rPr>
                <w:sz w:val="20"/>
                <w:szCs w:val="20"/>
                <w:color w:val="auto"/>
              </w:rPr>
            </w:pPr>
            <w:r>
              <w:rPr>
                <w:rFonts w:ascii="Arial" w:cs="Arial" w:eastAsia="Arial" w:hAnsi="Arial"/>
                <w:sz w:val="14"/>
                <w:szCs w:val="14"/>
                <w:color w:val="auto"/>
              </w:rPr>
              <w:t>XBRL Taxonomy Extension Calculation Linkbase*</w:t>
            </w:r>
          </w:p>
        </w:tc>
      </w:tr>
      <w:tr>
        <w:trPr>
          <w:trHeight w:val="457"/>
        </w:trPr>
        <w:tc>
          <w:tcPr>
            <w:tcW w:w="3340" w:type="dxa"/>
            <w:vAlign w:val="bottom"/>
          </w:tcPr>
          <w:p>
            <w:pPr>
              <w:spacing w:after="0"/>
              <w:rPr>
                <w:sz w:val="24"/>
                <w:szCs w:val="24"/>
                <w:color w:val="auto"/>
              </w:rPr>
            </w:pPr>
          </w:p>
        </w:tc>
        <w:tc>
          <w:tcPr>
            <w:tcW w:w="7900" w:type="dxa"/>
            <w:vAlign w:val="bottom"/>
          </w:tcPr>
          <w:p>
            <w:pPr>
              <w:ind w:left="2200"/>
              <w:spacing w:after="0"/>
              <w:rPr>
                <w:sz w:val="20"/>
                <w:szCs w:val="20"/>
                <w:color w:val="auto"/>
              </w:rPr>
            </w:pPr>
            <w:r>
              <w:rPr>
                <w:rFonts w:ascii="Arial" w:cs="Arial" w:eastAsia="Arial" w:hAnsi="Arial"/>
                <w:sz w:val="18"/>
                <w:szCs w:val="18"/>
                <w:color w:val="auto"/>
              </w:rPr>
              <w:t>31</w:t>
            </w:r>
          </w:p>
        </w:tc>
      </w:tr>
      <w:tr>
        <w:trPr>
          <w:trHeight w:val="318"/>
        </w:trPr>
        <w:tc>
          <w:tcPr>
            <w:tcW w:w="33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2620" w:type="dxa"/>
        <w:tblCellMar>
          <w:top w:w="0" w:type="dxa"/>
          <w:left w:w="0" w:type="dxa"/>
          <w:bottom w:w="0" w:type="dxa"/>
          <w:right w:w="0" w:type="dxa"/>
        </w:tblCellMar>
      </w:tblPr>
      <w:tr>
        <w:trPr>
          <w:trHeight w:val="182"/>
        </w:trPr>
        <w:tc>
          <w:tcPr>
            <w:tcW w:w="720" w:type="dxa"/>
            <w:vAlign w:val="bottom"/>
          </w:tcPr>
          <w:p>
            <w:pPr>
              <w:jc w:val="right"/>
              <w:ind w:right="108"/>
              <w:spacing w:after="0"/>
              <w:rPr>
                <w:sz w:val="20"/>
                <w:szCs w:val="20"/>
                <w:color w:val="auto"/>
              </w:rPr>
            </w:pPr>
            <w:r>
              <w:rPr>
                <w:rFonts w:ascii="Arial" w:cs="Arial" w:eastAsia="Arial" w:hAnsi="Arial"/>
                <w:sz w:val="14"/>
                <w:szCs w:val="14"/>
                <w:color w:val="auto"/>
                <w:w w:val="94"/>
              </w:rPr>
              <w:t>101.DEF</w:t>
            </w:r>
          </w:p>
        </w:tc>
        <w:tc>
          <w:tcPr>
            <w:tcW w:w="3220" w:type="dxa"/>
            <w:vAlign w:val="bottom"/>
          </w:tcPr>
          <w:p>
            <w:pPr>
              <w:ind w:left="200"/>
              <w:spacing w:after="0"/>
              <w:rPr>
                <w:sz w:val="20"/>
                <w:szCs w:val="20"/>
                <w:color w:val="auto"/>
              </w:rPr>
            </w:pPr>
            <w:r>
              <w:rPr>
                <w:rFonts w:ascii="Arial" w:cs="Arial" w:eastAsia="Arial" w:hAnsi="Arial"/>
                <w:sz w:val="14"/>
                <w:szCs w:val="14"/>
                <w:color w:val="auto"/>
              </w:rPr>
              <w:t>XBRL Taxonomy Extension Definition Linkbase*</w:t>
            </w:r>
          </w:p>
        </w:tc>
      </w:tr>
      <w:tr>
        <w:trPr>
          <w:trHeight w:val="459"/>
        </w:trPr>
        <w:tc>
          <w:tcPr>
            <w:tcW w:w="720" w:type="dxa"/>
            <w:vAlign w:val="bottom"/>
          </w:tcPr>
          <w:p>
            <w:pPr>
              <w:jc w:val="right"/>
              <w:ind w:right="108"/>
              <w:spacing w:after="0"/>
              <w:rPr>
                <w:sz w:val="20"/>
                <w:szCs w:val="20"/>
                <w:color w:val="auto"/>
              </w:rPr>
            </w:pPr>
            <w:r>
              <w:rPr>
                <w:rFonts w:ascii="Arial" w:cs="Arial" w:eastAsia="Arial" w:hAnsi="Arial"/>
                <w:sz w:val="14"/>
                <w:szCs w:val="14"/>
                <w:color w:val="auto"/>
                <w:w w:val="96"/>
              </w:rPr>
              <w:t>101.LAB</w:t>
            </w:r>
          </w:p>
        </w:tc>
        <w:tc>
          <w:tcPr>
            <w:tcW w:w="3220" w:type="dxa"/>
            <w:vAlign w:val="bottom"/>
          </w:tcPr>
          <w:p>
            <w:pPr>
              <w:ind w:left="200"/>
              <w:spacing w:after="0"/>
              <w:rPr>
                <w:sz w:val="20"/>
                <w:szCs w:val="20"/>
                <w:color w:val="auto"/>
              </w:rPr>
            </w:pPr>
            <w:r>
              <w:rPr>
                <w:rFonts w:ascii="Arial" w:cs="Arial" w:eastAsia="Arial" w:hAnsi="Arial"/>
                <w:sz w:val="14"/>
                <w:szCs w:val="14"/>
                <w:color w:val="auto"/>
              </w:rPr>
              <w:t>XBRL Taxonomy Extension Label Linkbase*</w:t>
            </w:r>
          </w:p>
        </w:tc>
      </w:tr>
      <w:tr>
        <w:trPr>
          <w:trHeight w:val="459"/>
        </w:trPr>
        <w:tc>
          <w:tcPr>
            <w:tcW w:w="720" w:type="dxa"/>
            <w:vAlign w:val="bottom"/>
          </w:tcPr>
          <w:p>
            <w:pPr>
              <w:jc w:val="right"/>
              <w:ind w:right="108"/>
              <w:spacing w:after="0"/>
              <w:rPr>
                <w:sz w:val="20"/>
                <w:szCs w:val="20"/>
                <w:color w:val="auto"/>
              </w:rPr>
            </w:pPr>
            <w:r>
              <w:rPr>
                <w:rFonts w:ascii="Arial" w:cs="Arial" w:eastAsia="Arial" w:hAnsi="Arial"/>
                <w:sz w:val="14"/>
                <w:szCs w:val="14"/>
                <w:color w:val="auto"/>
                <w:w w:val="92"/>
              </w:rPr>
              <w:t>101.PRE</w:t>
            </w:r>
          </w:p>
        </w:tc>
        <w:tc>
          <w:tcPr>
            <w:tcW w:w="3220" w:type="dxa"/>
            <w:vAlign w:val="bottom"/>
          </w:tcPr>
          <w:p>
            <w:pPr>
              <w:ind w:left="200"/>
              <w:spacing w:after="0"/>
              <w:rPr>
                <w:sz w:val="20"/>
                <w:szCs w:val="20"/>
                <w:color w:val="auto"/>
              </w:rPr>
            </w:pPr>
            <w:r>
              <w:rPr>
                <w:rFonts w:ascii="Arial" w:cs="Arial" w:eastAsia="Arial" w:hAnsi="Arial"/>
                <w:sz w:val="14"/>
                <w:szCs w:val="14"/>
                <w:color w:val="auto"/>
                <w:w w:val="94"/>
              </w:rPr>
              <w:t>XBRL Taxonomy Extension Presentation Linkbase*</w:t>
            </w:r>
          </w:p>
        </w:tc>
      </w:tr>
    </w:tbl>
    <w:p>
      <w:pPr>
        <w:spacing w:after="0" w:line="47" w:lineRule="exact"/>
        <w:rPr>
          <w:sz w:val="20"/>
          <w:szCs w:val="20"/>
          <w:color w:val="auto"/>
        </w:rPr>
      </w:pPr>
    </w:p>
    <w:p>
      <w:pPr>
        <w:ind w:left="3540" w:hanging="71"/>
        <w:spacing w:after="0" w:line="253" w:lineRule="auto"/>
        <w:rPr>
          <w:sz w:val="20"/>
          <w:szCs w:val="20"/>
          <w:color w:val="auto"/>
        </w:rPr>
      </w:pPr>
      <w:r>
        <w:rPr>
          <w:rFonts w:ascii="Arial" w:cs="Arial" w:eastAsia="Arial" w:hAnsi="Arial"/>
          <w:sz w:val="14"/>
          <w:szCs w:val="14"/>
          <w:color w:val="auto"/>
        </w:rPr>
        <w:t>*This exhibit is being filed by means of incorporation by reference (see Index to Exhibits on page E-1). Each other exhibit is being filed with this Annual Report on Form 10-K.</w:t>
      </w:r>
    </w:p>
    <w:p>
      <w:pPr>
        <w:spacing w:after="0" w:line="66"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**Management contract or compensatory plan or arrangement.</w:t>
      </w:r>
    </w:p>
    <w:p>
      <w:pPr>
        <w:spacing w:after="0" w:line="65"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Financial Statement Schedule</w:t>
      </w:r>
    </w:p>
    <w:p>
      <w:pPr>
        <w:spacing w:after="0" w:line="7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See Index to Financial Statements and Financial Statement Schedule on page S-1.</w:t>
      </w:r>
    </w:p>
    <w:p>
      <w:pPr>
        <w:spacing w:after="0" w:line="244" w:lineRule="exact"/>
        <w:rPr>
          <w:sz w:val="20"/>
          <w:szCs w:val="20"/>
          <w:color w:val="auto"/>
        </w:rPr>
      </w:pPr>
    </w:p>
    <w:p>
      <w:pPr>
        <w:jc w:val="center"/>
        <w:ind w:right="8700"/>
        <w:spacing w:after="0"/>
        <w:rPr>
          <w:sz w:val="20"/>
          <w:szCs w:val="20"/>
          <w:color w:val="auto"/>
        </w:rPr>
      </w:pPr>
      <w:r>
        <w:rPr>
          <w:rFonts w:ascii="Arial" w:cs="Arial" w:eastAsia="Arial" w:hAnsi="Arial"/>
          <w:sz w:val="16"/>
          <w:szCs w:val="16"/>
          <w:b w:val="1"/>
          <w:bCs w:val="1"/>
          <w:color w:val="auto"/>
        </w:rPr>
        <w:t>Item 16. Form 10-K Summary</w:t>
      </w:r>
    </w:p>
    <w:p>
      <w:pPr>
        <w:spacing w:after="0" w:line="198" w:lineRule="exact"/>
        <w:rPr>
          <w:sz w:val="20"/>
          <w:szCs w:val="20"/>
          <w:color w:val="auto"/>
        </w:rPr>
      </w:pPr>
    </w:p>
    <w:p>
      <w:pPr>
        <w:jc w:val="center"/>
        <w:ind w:right="8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50"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80" w:firstLine="428"/>
        <w:spacing w:after="0" w:line="359"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28,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CHEMED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Kevin J.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773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J. McNamara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right="1020" w:firstLine="428"/>
        <w:spacing w:after="0" w:line="32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240030</wp:posOffset>
            </wp:positionV>
            <wp:extent cx="1131570" cy="3068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1570" cy="306895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J. McNamara</w:t>
            </w:r>
          </w:p>
        </w:tc>
        <w:tc>
          <w:tcPr>
            <w:tcW w:w="4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 and a Director</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Kevin J. McNamara</w:t>
            </w:r>
          </w:p>
        </w:tc>
        <w:tc>
          <w:tcPr>
            <w:tcW w:w="4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8"/>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P. Williams</w:t>
            </w:r>
          </w:p>
        </w:tc>
        <w:tc>
          <w:tcPr>
            <w:tcW w:w="4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0"/>
              </w:rPr>
              <w:t>Executive Vice President and Chief Financial Officer</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David P. Williams</w:t>
            </w:r>
          </w:p>
        </w:tc>
        <w:tc>
          <w:tcPr>
            <w:tcW w:w="4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38"/>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D. Witzeman</w:t>
            </w:r>
          </w:p>
        </w:tc>
        <w:tc>
          <w:tcPr>
            <w:tcW w:w="4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Michael D. Witzeman</w:t>
            </w:r>
          </w:p>
        </w:tc>
        <w:tc>
          <w:tcPr>
            <w:tcW w:w="4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445"/>
        </w:trPr>
        <w:tc>
          <w:tcPr>
            <w:tcW w:w="2500" w:type="dxa"/>
            <w:vAlign w:val="bottom"/>
            <w:gridSpan w:val="2"/>
            <w:vMerge w:val="restart"/>
          </w:tcPr>
          <w:p>
            <w:pPr>
              <w:spacing w:after="0"/>
              <w:rPr>
                <w:sz w:val="20"/>
                <w:szCs w:val="20"/>
                <w:color w:val="auto"/>
              </w:rPr>
            </w:pPr>
            <w:r>
              <w:rPr>
                <w:rFonts w:ascii="Arial" w:cs="Arial" w:eastAsia="Arial" w:hAnsi="Arial"/>
                <w:sz w:val="18"/>
                <w:szCs w:val="18"/>
                <w:color w:val="auto"/>
              </w:rPr>
              <w:t>Ron DeLyons*</w:t>
            </w: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00" w:type="dxa"/>
            <w:vAlign w:val="bottom"/>
            <w:gridSpan w:val="2"/>
            <w:vMerge w:val="continue"/>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Joel F. Gemunder*</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Patrick P. Grace*</w:t>
            </w:r>
          </w:p>
        </w:tc>
        <w:tc>
          <w:tcPr>
            <w:tcW w:w="480" w:type="dxa"/>
            <w:vAlign w:val="bottom"/>
            <w:tcBorders>
              <w:right w:val="single" w:sz="8" w:color="auto"/>
            </w:tcBorders>
          </w:tcPr>
          <w:p>
            <w:pPr>
              <w:spacing w:after="0"/>
              <w:rPr>
                <w:sz w:val="19"/>
                <w:szCs w:val="19"/>
                <w:color w:val="auto"/>
              </w:rPr>
            </w:pPr>
          </w:p>
        </w:tc>
        <w:tc>
          <w:tcPr>
            <w:tcW w:w="3800" w:type="dxa"/>
            <w:vAlign w:val="bottom"/>
            <w:gridSpan w:val="2"/>
            <w:vMerge w:val="restart"/>
          </w:tcPr>
          <w:p>
            <w:pPr>
              <w:ind w:left="120"/>
              <w:spacing w:after="0"/>
              <w:rPr>
                <w:sz w:val="20"/>
                <w:szCs w:val="20"/>
                <w:color w:val="auto"/>
              </w:rPr>
            </w:pPr>
            <w:r>
              <w:rPr>
                <w:rFonts w:ascii="Arial" w:cs="Arial" w:eastAsia="Arial" w:hAnsi="Arial"/>
                <w:sz w:val="18"/>
                <w:szCs w:val="18"/>
                <w:color w:val="auto"/>
              </w:rPr>
              <w:t>-- Directors</w:t>
            </w: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Thomas C. Hutton*</w:t>
            </w:r>
          </w:p>
        </w:tc>
        <w:tc>
          <w:tcPr>
            <w:tcW w:w="480" w:type="dxa"/>
            <w:vAlign w:val="bottom"/>
            <w:tcBorders>
              <w:right w:val="single" w:sz="8" w:color="auto"/>
            </w:tcBorders>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Christopher J. Heaney*</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Andrea R. Lindell*</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Thomas P. Rice*</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Donald E. Saunders*</w:t>
            </w:r>
          </w:p>
        </w:tc>
        <w:tc>
          <w:tcPr>
            <w:tcW w:w="4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00" w:type="dxa"/>
            <w:vAlign w:val="bottom"/>
            <w:gridSpan w:val="2"/>
          </w:tcPr>
          <w:p>
            <w:pPr>
              <w:spacing w:after="0"/>
              <w:rPr>
                <w:sz w:val="20"/>
                <w:szCs w:val="20"/>
                <w:color w:val="auto"/>
              </w:rPr>
            </w:pPr>
            <w:r>
              <w:rPr>
                <w:rFonts w:ascii="Arial" w:cs="Arial" w:eastAsia="Arial" w:hAnsi="Arial"/>
                <w:sz w:val="18"/>
                <w:szCs w:val="18"/>
                <w:color w:val="auto"/>
              </w:rPr>
              <w:t>George J Walsh III*</w:t>
            </w:r>
          </w:p>
        </w:tc>
        <w:tc>
          <w:tcPr>
            <w:tcW w:w="480" w:type="dxa"/>
            <w:vAlign w:val="bottom"/>
            <w:tcBorders>
              <w:bottom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520" w:firstLine="8"/>
        <w:spacing w:after="0" w:line="279"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Brian C. Judkins by signing his name hereto signs this document on behalf of each of the persons indicated above pursuant to powers of attorney duly executed by such persons and filed with the Securities and Exchange Commission.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00" w:type="dxa"/>
            <w:vAlign w:val="bottom"/>
            <w:gridSpan w:val="2"/>
          </w:tcPr>
          <w:p>
            <w:pPr>
              <w:spacing w:after="0"/>
              <w:rPr>
                <w:sz w:val="20"/>
                <w:szCs w:val="20"/>
                <w:color w:val="auto"/>
              </w:rPr>
            </w:pPr>
            <w:r>
              <w:rPr>
                <w:rFonts w:ascii="Arial" w:cs="Arial" w:eastAsia="Arial" w:hAnsi="Arial"/>
                <w:sz w:val="18"/>
                <w:szCs w:val="18"/>
                <w:color w:val="auto"/>
              </w:rPr>
              <w:t>February 28, 2022</w:t>
            </w:r>
          </w:p>
        </w:tc>
        <w:tc>
          <w:tcPr>
            <w:tcW w:w="1780" w:type="dxa"/>
            <w:vAlign w:val="bottom"/>
          </w:tcPr>
          <w:p>
            <w:pPr>
              <w:spacing w:after="0"/>
              <w:rPr>
                <w:sz w:val="20"/>
                <w:szCs w:val="20"/>
                <w:color w:val="auto"/>
              </w:rPr>
            </w:pPr>
            <w:r>
              <w:rPr>
                <w:rFonts w:ascii="Arial" w:cs="Arial" w:eastAsia="Arial" w:hAnsi="Arial"/>
                <w:sz w:val="18"/>
                <w:szCs w:val="18"/>
                <w:color w:val="auto"/>
              </w:rPr>
              <w:t>/s/ Brian C. Judkins</w:t>
            </w:r>
          </w:p>
        </w:tc>
      </w:tr>
      <w:tr>
        <w:trPr>
          <w:trHeight w:val="229"/>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C. Judkins</w:t>
            </w:r>
          </w:p>
        </w:tc>
      </w:tr>
      <w:tr>
        <w:trPr>
          <w:trHeight w:val="230"/>
        </w:trPr>
        <w:tc>
          <w:tcPr>
            <w:tcW w:w="2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February 28, 2022</w:t>
      </w:r>
    </w:p>
    <w:p>
      <w:pPr>
        <w:sectPr>
          <w:pgSz w:w="11900" w:h="16838" w:orient="portrait"/>
          <w:cols w:equalWidth="0" w:num="2">
            <w:col w:w="9380" w:space="100"/>
            <w:col w:w="920"/>
          </w:cols>
          <w:pgMar w:left="320" w:top="364" w:right="1179" w:bottom="1440" w:gutter="0" w:footer="0" w:header="0"/>
        </w:sectPr>
      </w:pPr>
    </w:p>
    <w:bookmarkStart w:id="35" w:name="page36"/>
    <w:bookmarkEnd w:id="35"/>
    <w:p>
      <w:pPr>
        <w:ind w:left="3160"/>
        <w:spacing w:after="0"/>
        <w:rPr>
          <w:sz w:val="20"/>
          <w:szCs w:val="20"/>
          <w:color w:val="auto"/>
        </w:rPr>
      </w:pPr>
      <w:r>
        <w:rPr>
          <w:rFonts w:ascii="Arial" w:cs="Arial" w:eastAsia="Arial" w:hAnsi="Arial"/>
          <w:sz w:val="18"/>
          <w:szCs w:val="18"/>
          <w:b w:val="1"/>
          <w:bCs w:val="1"/>
          <w:color w:val="auto"/>
        </w:rPr>
        <w:t>CHEMED CORPORATION AND SUBSIDIARY COMPANIES</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2019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2020</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Page(s)</w:t>
            </w:r>
          </w:p>
        </w:tc>
      </w:tr>
      <w:tr>
        <w:trPr>
          <w:trHeight w:val="399"/>
        </w:trPr>
        <w:tc>
          <w:tcPr>
            <w:tcW w:w="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b w:val="1"/>
                <w:bCs w:val="1"/>
                <w:color w:val="auto"/>
              </w:rPr>
              <w:t>Chemed Corporation Consolidated Financial Statements</w:t>
            </w:r>
          </w:p>
        </w:tc>
        <w:tc>
          <w:tcPr>
            <w:tcW w:w="56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40*</w:t>
            </w:r>
          </w:p>
        </w:tc>
      </w:tr>
      <w:tr>
        <w:trPr>
          <w:trHeight w:val="169"/>
        </w:trPr>
        <w:tc>
          <w:tcPr>
            <w:tcW w:w="20" w:type="dxa"/>
            <w:vAlign w:val="bottom"/>
          </w:tcPr>
          <w:p>
            <w:pPr>
              <w:spacing w:after="0"/>
              <w:rPr>
                <w:sz w:val="14"/>
                <w:szCs w:val="14"/>
                <w:color w:val="auto"/>
              </w:rPr>
            </w:pPr>
          </w:p>
        </w:tc>
        <w:tc>
          <w:tcPr>
            <w:tcW w:w="422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44">
              <w:r>
                <w:rPr>
                  <w:rFonts w:ascii="Arial" w:cs="Arial" w:eastAsia="Arial" w:hAnsi="Arial"/>
                  <w:sz w:val="18"/>
                  <w:szCs w:val="18"/>
                  <w:color w:val="0000FF"/>
                </w:rPr>
                <w:t>Consolidated Statements of Income</w:t>
              </w:r>
            </w:hyperlink>
          </w:p>
        </w:tc>
        <w:tc>
          <w:tcPr>
            <w:tcW w:w="1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42*</w:t>
            </w:r>
          </w:p>
        </w:tc>
      </w:tr>
      <w:tr>
        <w:trPr>
          <w:trHeight w:val="169"/>
        </w:trPr>
        <w:tc>
          <w:tcPr>
            <w:tcW w:w="20" w:type="dxa"/>
            <w:vAlign w:val="bottom"/>
          </w:tcPr>
          <w:p>
            <w:pPr>
              <w:spacing w:after="0"/>
              <w:rPr>
                <w:sz w:val="14"/>
                <w:szCs w:val="14"/>
                <w:color w:val="auto"/>
              </w:rPr>
            </w:pPr>
          </w:p>
        </w:tc>
        <w:tc>
          <w:tcPr>
            <w:tcW w:w="256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Consolidated Balance Sheets</w:t>
              </w:r>
            </w:hyperlink>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57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43*</w:t>
            </w:r>
          </w:p>
        </w:tc>
      </w:tr>
      <w:tr>
        <w:trPr>
          <w:trHeight w:val="169"/>
        </w:trPr>
        <w:tc>
          <w:tcPr>
            <w:tcW w:w="20" w:type="dxa"/>
            <w:vAlign w:val="bottom"/>
          </w:tcPr>
          <w:p>
            <w:pPr>
              <w:spacing w:after="0"/>
              <w:rPr>
                <w:sz w:val="14"/>
                <w:szCs w:val="14"/>
                <w:color w:val="auto"/>
              </w:rPr>
            </w:pPr>
          </w:p>
        </w:tc>
        <w:tc>
          <w:tcPr>
            <w:tcW w:w="2100" w:type="dxa"/>
            <w:vAlign w:val="bottom"/>
            <w:tcBorders>
              <w:top w:val="single" w:sz="8" w:color="0000FF"/>
            </w:tcBorders>
          </w:tcPr>
          <w:p>
            <w:pPr>
              <w:spacing w:after="0" w:line="169" w:lineRule="exact"/>
              <w:rPr>
                <w:rFonts w:ascii="Arial" w:cs="Arial" w:eastAsia="Arial" w:hAnsi="Arial"/>
                <w:sz w:val="18"/>
                <w:szCs w:val="18"/>
                <w:color w:val="0000FF"/>
                <w:w w:val="94"/>
              </w:rPr>
            </w:pPr>
            <w:hyperlink w:anchor="page46">
              <w:r>
                <w:rPr>
                  <w:rFonts w:ascii="Arial" w:cs="Arial" w:eastAsia="Arial" w:hAnsi="Arial"/>
                  <w:sz w:val="18"/>
                  <w:szCs w:val="18"/>
                  <w:color w:val="0000FF"/>
                  <w:w w:val="94"/>
                </w:rPr>
                <w:t>Consolidated Statements of</w:t>
              </w:r>
            </w:hyperlink>
          </w:p>
        </w:tc>
        <w:tc>
          <w:tcPr>
            <w:tcW w:w="8040" w:type="dxa"/>
            <w:vAlign w:val="bottom"/>
            <w:gridSpan w:val="6"/>
          </w:tcPr>
          <w:p>
            <w:pPr>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Cash Flows</w:t>
              </w:r>
            </w:hyperlink>
          </w:p>
        </w:tc>
        <w:tc>
          <w:tcPr>
            <w:tcW w:w="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44*</w:t>
            </w:r>
          </w:p>
        </w:tc>
      </w:tr>
      <w:tr>
        <w:trPr>
          <w:trHeight w:val="169"/>
        </w:trPr>
        <w:tc>
          <w:tcPr>
            <w:tcW w:w="20" w:type="dxa"/>
            <w:vAlign w:val="bottom"/>
          </w:tcPr>
          <w:p>
            <w:pPr>
              <w:spacing w:after="0"/>
              <w:rPr>
                <w:sz w:val="14"/>
                <w:szCs w:val="14"/>
                <w:color w:val="auto"/>
              </w:rPr>
            </w:pPr>
          </w:p>
        </w:tc>
        <w:tc>
          <w:tcPr>
            <w:tcW w:w="2880" w:type="dxa"/>
            <w:vAlign w:val="bottom"/>
            <w:tcBorders>
              <w:top w:val="single" w:sz="8" w:color="0000FF"/>
            </w:tcBorders>
            <w:gridSpan w:val="3"/>
          </w:tcPr>
          <w:p>
            <w:pPr>
              <w:spacing w:after="0" w:line="169"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Consolidated Statements of Changes in</w:t>
              </w:r>
            </w:hyperlink>
          </w:p>
        </w:tc>
        <w:tc>
          <w:tcPr>
            <w:tcW w:w="7260" w:type="dxa"/>
            <w:vAlign w:val="bottom"/>
            <w:gridSpan w:val="4"/>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Stockholders’ Equity</w:t>
              </w:r>
            </w:hyperlink>
          </w:p>
        </w:tc>
        <w:tc>
          <w:tcPr>
            <w:tcW w:w="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45*</w:t>
            </w:r>
          </w:p>
        </w:tc>
      </w:tr>
      <w:tr>
        <w:trPr>
          <w:trHeight w:val="169"/>
        </w:trPr>
        <w:tc>
          <w:tcPr>
            <w:tcW w:w="20" w:type="dxa"/>
            <w:vAlign w:val="bottom"/>
          </w:tcPr>
          <w:p>
            <w:pPr>
              <w:spacing w:after="0"/>
              <w:rPr>
                <w:sz w:val="14"/>
                <w:szCs w:val="14"/>
                <w:color w:val="auto"/>
              </w:rPr>
            </w:pPr>
          </w:p>
        </w:tc>
        <w:tc>
          <w:tcPr>
            <w:tcW w:w="440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Notes to Consolidated Financial Statements</w:t>
              </w:r>
            </w:hyperlink>
          </w:p>
        </w:tc>
        <w:tc>
          <w:tcPr>
            <w:tcW w:w="57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46*</w:t>
            </w:r>
          </w:p>
        </w:tc>
      </w:tr>
      <w:tr>
        <w:trPr>
          <w:trHeight w:val="224"/>
        </w:trPr>
        <w:tc>
          <w:tcPr>
            <w:tcW w:w="20" w:type="dxa"/>
            <w:vAlign w:val="bottom"/>
          </w:tcPr>
          <w:p>
            <w:pPr>
              <w:spacing w:after="0"/>
              <w:rPr>
                <w:sz w:val="19"/>
                <w:szCs w:val="19"/>
                <w:color w:val="auto"/>
              </w:rPr>
            </w:pPr>
          </w:p>
        </w:tc>
        <w:tc>
          <w:tcPr>
            <w:tcW w:w="21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________________</w:t>
            </w:r>
          </w:p>
        </w:tc>
        <w:tc>
          <w:tcPr>
            <w:tcW w:w="4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Indicates page numbers in Chemed Corporation 2021 Annual Report to Stockholders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consolidated financial statements of Chemed Corporation listed above, appearing in the 2021 Annual Report to Stockholders, are incorporated herein by reference. Schedules not included have been omitted because they are not applicable or the required information is shown in the financial statements or notes thereto as listed above.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660" w:type="dxa"/>
            <w:vAlign w:val="bottom"/>
            <w:gridSpan w:val="20"/>
          </w:tcPr>
          <w:p>
            <w:pPr>
              <w:spacing w:after="0"/>
              <w:rPr>
                <w:sz w:val="20"/>
                <w:szCs w:val="20"/>
                <w:color w:val="auto"/>
              </w:rPr>
            </w:pPr>
            <w:r>
              <w:rPr>
                <w:rFonts w:ascii="Arial" w:cs="Arial" w:eastAsia="Arial" w:hAnsi="Arial"/>
                <w:sz w:val="18"/>
                <w:szCs w:val="18"/>
                <w:b w:val="1"/>
                <w:bCs w:val="1"/>
                <w:color w:val="auto"/>
              </w:rPr>
              <w:t>INDEX TO EXHIBITS</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5"/>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Page Number</w:t>
            </w:r>
          </w:p>
        </w:tc>
      </w:tr>
      <w:tr>
        <w:trPr>
          <w:trHeight w:val="229"/>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or</w:t>
            </w:r>
          </w:p>
        </w:tc>
      </w:tr>
      <w:tr>
        <w:trPr>
          <w:trHeight w:val="190"/>
        </w:trPr>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Borders>
              <w:bottom w:val="single" w:sz="8" w:color="auto"/>
            </w:tcBorders>
            <w:gridSpan w:val="4"/>
          </w:tcPr>
          <w:p>
            <w:pPr>
              <w:jc w:val="center"/>
              <w:spacing w:after="0" w:line="190" w:lineRule="exact"/>
              <w:rPr>
                <w:sz w:val="20"/>
                <w:szCs w:val="20"/>
                <w:color w:val="auto"/>
              </w:rPr>
            </w:pPr>
            <w:r>
              <w:rPr>
                <w:rFonts w:ascii="Arial" w:cs="Arial" w:eastAsia="Arial" w:hAnsi="Arial"/>
                <w:sz w:val="18"/>
                <w:szCs w:val="18"/>
                <w:color w:val="auto"/>
                <w:w w:val="94"/>
              </w:rPr>
              <w:t>Incorporation by</w:t>
            </w:r>
          </w:p>
        </w:tc>
        <w:tc>
          <w:tcPr>
            <w:tcW w:w="260" w:type="dxa"/>
            <w:vAlign w:val="bottom"/>
          </w:tcPr>
          <w:p>
            <w:pPr>
              <w:spacing w:after="0"/>
              <w:rPr>
                <w:sz w:val="16"/>
                <w:szCs w:val="16"/>
                <w:color w:val="auto"/>
              </w:rPr>
            </w:pPr>
          </w:p>
        </w:tc>
      </w:tr>
      <w:tr>
        <w:trPr>
          <w:trHeight w:val="209"/>
        </w:trPr>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Reference</w:t>
            </w:r>
          </w:p>
        </w:tc>
        <w:tc>
          <w:tcPr>
            <w:tcW w:w="440" w:type="dxa"/>
            <w:vAlign w:val="bottom"/>
            <w:gridSpan w:val="2"/>
          </w:tcPr>
          <w:p>
            <w:pPr>
              <w:spacing w:after="0"/>
              <w:rPr>
                <w:sz w:val="18"/>
                <w:szCs w:val="18"/>
                <w:color w:val="auto"/>
              </w:rPr>
            </w:pPr>
          </w:p>
        </w:tc>
      </w:tr>
      <w:tr>
        <w:trPr>
          <w:trHeight w:val="479"/>
        </w:trPr>
        <w:tc>
          <w:tcPr>
            <w:tcW w:w="12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File No. and</w:t>
            </w:r>
          </w:p>
        </w:tc>
        <w:tc>
          <w:tcPr>
            <w:tcW w:w="280" w:type="dxa"/>
            <w:vAlign w:val="bottom"/>
          </w:tcPr>
          <w:p>
            <w:pPr>
              <w:spacing w:after="0"/>
              <w:rPr>
                <w:sz w:val="24"/>
                <w:szCs w:val="24"/>
                <w:color w:val="auto"/>
              </w:rPr>
            </w:pPr>
          </w:p>
        </w:tc>
        <w:tc>
          <w:tcPr>
            <w:tcW w:w="1480" w:type="dxa"/>
            <w:vAlign w:val="bottom"/>
            <w:gridSpan w:val="5"/>
          </w:tcPr>
          <w:p>
            <w:pPr>
              <w:ind w:left="200"/>
              <w:spacing w:after="0"/>
              <w:rPr>
                <w:sz w:val="20"/>
                <w:szCs w:val="20"/>
                <w:color w:val="auto"/>
              </w:rPr>
            </w:pPr>
            <w:r>
              <w:rPr>
                <w:rFonts w:ascii="Arial" w:cs="Arial" w:eastAsia="Arial" w:hAnsi="Arial"/>
                <w:sz w:val="18"/>
                <w:szCs w:val="18"/>
                <w:color w:val="auto"/>
              </w:rPr>
              <w:t>Previous</w:t>
            </w: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gridSpan w:val="2"/>
          </w:tcPr>
          <w:p>
            <w:pPr>
              <w:spacing w:after="0" w:line="190" w:lineRule="exact"/>
              <w:rPr>
                <w:sz w:val="20"/>
                <w:szCs w:val="20"/>
                <w:color w:val="auto"/>
              </w:rPr>
            </w:pPr>
            <w:r>
              <w:rPr>
                <w:rFonts w:ascii="Arial" w:cs="Arial" w:eastAsia="Arial" w:hAnsi="Arial"/>
                <w:sz w:val="18"/>
                <w:szCs w:val="18"/>
                <w:color w:val="auto"/>
              </w:rPr>
              <w:t>Filing Date</w:t>
            </w:r>
          </w:p>
        </w:tc>
        <w:tc>
          <w:tcPr>
            <w:tcW w:w="280" w:type="dxa"/>
            <w:vAlign w:val="bottom"/>
          </w:tcPr>
          <w:p>
            <w:pPr>
              <w:spacing w:after="0"/>
              <w:rPr>
                <w:sz w:val="16"/>
                <w:szCs w:val="16"/>
                <w:color w:val="auto"/>
              </w:rPr>
            </w:pPr>
          </w:p>
        </w:tc>
        <w:tc>
          <w:tcPr>
            <w:tcW w:w="1480" w:type="dxa"/>
            <w:vAlign w:val="bottom"/>
            <w:gridSpan w:val="5"/>
          </w:tcPr>
          <w:p>
            <w:pPr>
              <w:jc w:val="center"/>
              <w:ind w:right="240"/>
              <w:spacing w:after="0" w:line="190" w:lineRule="exact"/>
              <w:rPr>
                <w:sz w:val="20"/>
                <w:szCs w:val="20"/>
                <w:color w:val="auto"/>
              </w:rPr>
            </w:pPr>
            <w:r>
              <w:rPr>
                <w:rFonts w:ascii="Arial" w:cs="Arial" w:eastAsia="Arial" w:hAnsi="Arial"/>
                <w:sz w:val="18"/>
                <w:szCs w:val="18"/>
                <w:color w:val="auto"/>
                <w:w w:val="96"/>
              </w:rPr>
              <w:t>Exhibit No.</w:t>
            </w:r>
          </w:p>
        </w:tc>
      </w:tr>
      <w:tr>
        <w:trPr>
          <w:trHeight w:val="20"/>
        </w:trPr>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98"/>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Certificate of Incorporation of Chemed Corporation (p)</w:t>
            </w:r>
          </w:p>
        </w:tc>
        <w:tc>
          <w:tcPr>
            <w:tcW w:w="40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Form S-3 Reg. No. 33-44177</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11/26/91</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5440" w:type="dxa"/>
            <w:vAlign w:val="bottom"/>
            <w:tcBorders>
              <w:bottom w:val="single" w:sz="8" w:color="0000FF"/>
            </w:tcBorders>
            <w:gridSpan w:val="18"/>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Certificate of Amendment to Certificate Incorporation, dated May 15, 2006</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8-K 5/16/06</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8"/>
        </w:trPr>
        <w:tc>
          <w:tcPr>
            <w:tcW w:w="600" w:type="dxa"/>
            <w:vAlign w:val="bottom"/>
          </w:tcPr>
          <w:p>
            <w:pPr>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4680" w:type="dxa"/>
            <w:vAlign w:val="bottom"/>
            <w:tcBorders>
              <w:bottom w:val="single" w:sz="8" w:color="0000FF"/>
            </w:tcBorders>
            <w:gridSpan w:val="8"/>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By-Laws of Chemed Corporation as amended February 17, 2017</w:t>
              </w:r>
            </w:hyperlink>
          </w:p>
        </w:tc>
        <w:tc>
          <w:tcPr>
            <w:tcW w:w="760" w:type="dxa"/>
            <w:vAlign w:val="bottom"/>
            <w:gridSpan w:val="10"/>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8-K 2/17/17</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8"/>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1800" w:type="dxa"/>
            <w:vAlign w:val="bottom"/>
            <w:tcBorders>
              <w:bottom w:val="single" w:sz="8" w:color="0000FF"/>
            </w:tcBorders>
            <w:gridSpan w:val="3"/>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Description of Securities</w:t>
              </w:r>
            </w:hyperlink>
          </w:p>
        </w:tc>
        <w:tc>
          <w:tcPr>
            <w:tcW w:w="20" w:type="dxa"/>
            <w:vAlign w:val="bottom"/>
            <w:tcBorders>
              <w:bottom w:val="single" w:sz="8" w:color="0000EE"/>
            </w:tcBorders>
          </w:tcPr>
          <w:p>
            <w:pPr>
              <w:spacing w:after="0"/>
              <w:rPr>
                <w:sz w:val="24"/>
                <w:szCs w:val="24"/>
                <w:color w:val="auto"/>
              </w:rPr>
            </w:pPr>
          </w:p>
        </w:tc>
        <w:tc>
          <w:tcPr>
            <w:tcW w:w="3620" w:type="dxa"/>
            <w:vAlign w:val="bottom"/>
            <w:gridSpan w:val="14"/>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10-K 2/26/20</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rPr>
            </w:pPr>
            <w:hyperlink r:id="rId54">
              <w:r>
                <w:rPr>
                  <w:rFonts w:ascii="Arial" w:cs="Arial" w:eastAsia="Arial" w:hAnsi="Arial"/>
                  <w:sz w:val="18"/>
                  <w:szCs w:val="18"/>
                  <w:color w:val="0000FF"/>
                </w:rPr>
                <w:t>2006 Stock Incentive Plan, as amended August 11, 2006</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10-Q 8/14/06,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8"/>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2010 Stock Incentive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2140" w:type="dxa"/>
            <w:vAlign w:val="bottom"/>
            <w:tcBorders>
              <w:top w:val="single" w:sz="8" w:color="0000FF"/>
            </w:tcBorders>
          </w:tcPr>
          <w:p>
            <w:pPr>
              <w:spacing w:after="0"/>
              <w:rPr>
                <w:sz w:val="24"/>
                <w:szCs w:val="24"/>
                <w:color w:val="auto"/>
              </w:rPr>
            </w:pPr>
          </w:p>
        </w:tc>
        <w:tc>
          <w:tcPr>
            <w:tcW w:w="1380" w:type="dxa"/>
            <w:vAlign w:val="bottom"/>
            <w:gridSpan w:val="11"/>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8-K 5/18/10,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2015 Stock Incentive Plan</w:t>
              </w:r>
            </w:hyperlink>
          </w:p>
        </w:tc>
        <w:tc>
          <w:tcPr>
            <w:tcW w:w="20" w:type="dxa"/>
            <w:vAlign w:val="bottom"/>
            <w:tcBorders>
              <w:bottom w:val="single" w:sz="8" w:color="0000EE"/>
            </w:tcBorders>
          </w:tcPr>
          <w:p>
            <w:pPr>
              <w:spacing w:after="0"/>
              <w:rPr>
                <w:sz w:val="24"/>
                <w:szCs w:val="24"/>
                <w:color w:val="auto"/>
              </w:rPr>
            </w:pPr>
          </w:p>
        </w:tc>
        <w:tc>
          <w:tcPr>
            <w:tcW w:w="3520" w:type="dxa"/>
            <w:vAlign w:val="bottom"/>
            <w:gridSpan w:val="12"/>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S-8 7/15/15,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2018 Stock Incentive Plan</w:t>
              </w:r>
            </w:hyperlink>
          </w:p>
        </w:tc>
        <w:tc>
          <w:tcPr>
            <w:tcW w:w="20" w:type="dxa"/>
            <w:vAlign w:val="bottom"/>
            <w:tcBorders>
              <w:bottom w:val="single" w:sz="8" w:color="0000EE"/>
            </w:tcBorders>
          </w:tcPr>
          <w:p>
            <w:pPr>
              <w:spacing w:after="0"/>
              <w:rPr>
                <w:sz w:val="24"/>
                <w:szCs w:val="24"/>
                <w:color w:val="auto"/>
              </w:rPr>
            </w:pPr>
          </w:p>
        </w:tc>
        <w:tc>
          <w:tcPr>
            <w:tcW w:w="3520" w:type="dxa"/>
            <w:vAlign w:val="bottom"/>
            <w:gridSpan w:val="12"/>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S-8 5/23/18,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5300" w:type="dxa"/>
            <w:vAlign w:val="bottom"/>
            <w:tcBorders>
              <w:bottom w:val="single" w:sz="8" w:color="0000FF"/>
            </w:tcBorders>
            <w:gridSpan w:val="16"/>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Employment Agreement with David P. Williams dated December 1, 2006</w:t>
              </w:r>
            </w:hyperlink>
          </w:p>
        </w:tc>
        <w:tc>
          <w:tcPr>
            <w:tcW w:w="20" w:type="dxa"/>
            <w:vAlign w:val="bottom"/>
            <w:tcBorders>
              <w:bottom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8-K 12/1/06,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9"/>
        </w:trPr>
        <w:tc>
          <w:tcPr>
            <w:tcW w:w="600" w:type="dxa"/>
            <w:vAlign w:val="bottom"/>
          </w:tcPr>
          <w:p>
            <w:pPr>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4"/>
                <w:szCs w:val="24"/>
                <w:color w:val="auto"/>
              </w:rPr>
            </w:pPr>
          </w:p>
        </w:tc>
        <w:tc>
          <w:tcPr>
            <w:tcW w:w="5440" w:type="dxa"/>
            <w:vAlign w:val="bottom"/>
            <w:tcBorders>
              <w:bottom w:val="single" w:sz="8" w:color="0000FF"/>
            </w:tcBorders>
            <w:gridSpan w:val="18"/>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First Amendment to Employment Agreement with David P. Williams dated</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10-Q 10/30/09,**</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9"/>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40" w:type="dxa"/>
            <w:vAlign w:val="bottom"/>
            <w:gridSpan w:val="18"/>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July 9, 2009</w:t>
              </w:r>
            </w:hyperlink>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Consulting Agreement with Timothy S. O'Toole dated June 16, 2016</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8-K 6/8/16,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68"/>
        </w:trPr>
        <w:tc>
          <w:tcPr>
            <w:tcW w:w="600" w:type="dxa"/>
            <w:vAlign w:val="bottom"/>
          </w:tcPr>
          <w:p>
            <w:pPr>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5080" w:type="dxa"/>
            <w:vAlign w:val="bottom"/>
            <w:tcBorders>
              <w:bottom w:val="single" w:sz="8" w:color="0000FF"/>
            </w:tcBorders>
            <w:gridSpan w:val="12"/>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Employment Agreement with Kevin J. McNamara dated May 3, 2008.</w:t>
              </w:r>
            </w:hyperlink>
          </w:p>
        </w:tc>
        <w:tc>
          <w:tcPr>
            <w:tcW w:w="20" w:type="dxa"/>
            <w:vAlign w:val="bottom"/>
            <w:tcBorders>
              <w:bottom w:val="single" w:sz="8" w:color="0000EE"/>
            </w:tcBorders>
          </w:tcPr>
          <w:p>
            <w:pPr>
              <w:spacing w:after="0"/>
              <w:rPr>
                <w:sz w:val="24"/>
                <w:szCs w:val="24"/>
                <w:color w:val="auto"/>
              </w:rPr>
            </w:pPr>
          </w:p>
        </w:tc>
        <w:tc>
          <w:tcPr>
            <w:tcW w:w="340" w:type="dxa"/>
            <w:vAlign w:val="bottom"/>
            <w:gridSpan w:val="5"/>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8-K 5/6/08,**</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8"/>
        </w:trPr>
        <w:tc>
          <w:tcPr>
            <w:tcW w:w="600" w:type="dxa"/>
            <w:vAlign w:val="bottom"/>
          </w:tcPr>
          <w:p>
            <w:pPr>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First Amendment to Employment Agreement with Kevin J. McNamara</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10-Q 10/30/09, **</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9"/>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18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dated July 9, 2009</w:t>
              </w:r>
            </w:hyperlink>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5040" w:type="dxa"/>
            <w:vAlign w:val="bottom"/>
            <w:tcBorders>
              <w:bottom w:val="single" w:sz="8" w:color="0000FF"/>
            </w:tcBorders>
            <w:gridSpan w:val="11"/>
          </w:tcPr>
          <w:p>
            <w:pPr>
              <w:spacing w:after="0"/>
              <w:rPr>
                <w:rFonts w:ascii="Arial" w:cs="Arial" w:eastAsia="Arial" w:hAnsi="Arial"/>
                <w:sz w:val="18"/>
                <w:szCs w:val="18"/>
                <w:color w:val="0000FF"/>
                <w:w w:val="88"/>
              </w:rPr>
            </w:pPr>
            <w:hyperlink r:id="rId63">
              <w:r>
                <w:rPr>
                  <w:rFonts w:ascii="Arial" w:cs="Arial" w:eastAsia="Arial" w:hAnsi="Arial"/>
                  <w:sz w:val="18"/>
                  <w:szCs w:val="18"/>
                  <w:color w:val="0000FF"/>
                  <w:w w:val="88"/>
                </w:rPr>
                <w:t>Excess Benefits Plan, as restated and amended, effective June 1, 2001</w:t>
              </w:r>
            </w:hyperlink>
          </w:p>
        </w:tc>
        <w:tc>
          <w:tcPr>
            <w:tcW w:w="400" w:type="dxa"/>
            <w:vAlign w:val="bottom"/>
            <w:gridSpan w:val="7"/>
          </w:tcPr>
          <w:p>
            <w:pPr>
              <w:spacing w:after="0"/>
              <w:rPr>
                <w:sz w:val="24"/>
                <w:szCs w:val="24"/>
                <w:color w:val="auto"/>
              </w:rPr>
            </w:pPr>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10-K 3/12/04,**</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8"/>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rPr>
            </w:pPr>
            <w:hyperlink r:id="rId64">
              <w:r>
                <w:rPr>
                  <w:rFonts w:ascii="Arial" w:cs="Arial" w:eastAsia="Arial" w:hAnsi="Arial"/>
                  <w:sz w:val="18"/>
                  <w:szCs w:val="18"/>
                  <w:color w:val="0000FF"/>
                </w:rPr>
                <w:t>Amendment No. 1 to Excess Benefits Plan, effective July 1, 2002</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10-K 3/12/04,**</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40" w:type="dxa"/>
            <w:vAlign w:val="bottom"/>
            <w:tcBorders>
              <w:right w:val="single" w:sz="8" w:color="0000EE"/>
            </w:tcBorders>
            <w:gridSpan w:val="9"/>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69"/>
        </w:trPr>
        <w:tc>
          <w:tcPr>
            <w:tcW w:w="600" w:type="dxa"/>
            <w:vAlign w:val="bottom"/>
          </w:tcPr>
          <w:p>
            <w:pPr>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Amendment No. 2 to Excess Benefits Plan, effective November 7, 2003</w:t>
              </w:r>
            </w:hyperlink>
          </w:p>
        </w:tc>
        <w:tc>
          <w:tcPr>
            <w:tcW w:w="2820" w:type="dxa"/>
            <w:vAlign w:val="bottom"/>
            <w:gridSpan w:val="3"/>
          </w:tcPr>
          <w:p>
            <w:pPr>
              <w:ind w:left="400"/>
              <w:spacing w:after="0"/>
              <w:rPr>
                <w:sz w:val="20"/>
                <w:szCs w:val="20"/>
                <w:color w:val="auto"/>
              </w:rPr>
            </w:pPr>
            <w:r>
              <w:rPr>
                <w:rFonts w:ascii="Arial" w:cs="Arial" w:eastAsia="Arial" w:hAnsi="Arial"/>
                <w:sz w:val="18"/>
                <w:szCs w:val="18"/>
                <w:color w:val="auto"/>
              </w:rPr>
              <w:t>Form 10-K 3/12/04,**</w:t>
            </w:r>
          </w:p>
        </w:tc>
        <w:tc>
          <w:tcPr>
            <w:tcW w:w="1320" w:type="dxa"/>
            <w:vAlign w:val="bottom"/>
            <w:gridSpan w:val="4"/>
          </w:tcPr>
          <w:p>
            <w:pPr>
              <w:ind w:left="48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68"/>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Borders>
              <w:top w:val="single" w:sz="8" w:color="0000FF"/>
            </w:tcBorders>
            <w:gridSpan w:val="8"/>
          </w:tcPr>
          <w:p>
            <w:pPr>
              <w:ind w:left="4320"/>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10.13</w:t>
            </w:r>
          </w:p>
        </w:tc>
        <w:tc>
          <w:tcPr>
            <w:tcW w:w="5360" w:type="dxa"/>
            <w:vAlign w:val="bottom"/>
            <w:gridSpan w:val="20"/>
          </w:tcPr>
          <w:p>
            <w:pPr>
              <w:spacing w:after="0"/>
              <w:rPr>
                <w:sz w:val="20"/>
                <w:szCs w:val="20"/>
                <w:color w:val="auto"/>
              </w:rPr>
            </w:pPr>
            <w:r>
              <w:rPr>
                <w:rFonts w:ascii="Arial" w:cs="Arial" w:eastAsia="Arial" w:hAnsi="Arial"/>
                <w:sz w:val="18"/>
                <w:szCs w:val="18"/>
                <w:color w:val="auto"/>
              </w:rPr>
              <w:t>Non-Employee Directors' Deferred Compensation Plan (p)</w:t>
            </w:r>
          </w:p>
        </w:tc>
      </w:tr>
      <w:tr>
        <w:trPr>
          <w:trHeight w:val="648"/>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10.14</w:t>
            </w:r>
          </w:p>
        </w:tc>
        <w:tc>
          <w:tcPr>
            <w:tcW w:w="5360" w:type="dxa"/>
            <w:vAlign w:val="bottom"/>
            <w:tcBorders>
              <w:bottom w:val="single" w:sz="8" w:color="0000FF"/>
            </w:tcBorders>
            <w:gridSpan w:val="20"/>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Chemed/Roto-Rooter Saving &amp; Retirement Plan effective January 1, 1999</w:t>
              </w:r>
            </w:hyperlink>
          </w:p>
        </w:tc>
      </w:tr>
      <w:tr>
        <w:trPr>
          <w:trHeight w:val="668"/>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10.15</w:t>
            </w:r>
          </w:p>
        </w:tc>
        <w:tc>
          <w:tcPr>
            <w:tcW w:w="5360" w:type="dxa"/>
            <w:vAlign w:val="bottom"/>
            <w:gridSpan w:val="20"/>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First Amendment to Chemed/Roto-Rooter Savings &amp; Retirement Plan</w:t>
              </w:r>
            </w:hyperlink>
          </w:p>
        </w:tc>
      </w:tr>
      <w:tr>
        <w:trPr>
          <w:trHeight w:val="169"/>
        </w:trPr>
        <w:tc>
          <w:tcPr>
            <w:tcW w:w="1220" w:type="dxa"/>
            <w:vAlign w:val="bottom"/>
          </w:tcPr>
          <w:p>
            <w:pPr>
              <w:spacing w:after="0"/>
              <w:rPr>
                <w:sz w:val="14"/>
                <w:szCs w:val="14"/>
                <w:color w:val="auto"/>
              </w:rPr>
            </w:pPr>
          </w:p>
        </w:tc>
        <w:tc>
          <w:tcPr>
            <w:tcW w:w="51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69">
              <w:r>
                <w:rPr>
                  <w:rFonts w:ascii="Arial" w:cs="Arial" w:eastAsia="Arial" w:hAnsi="Arial"/>
                  <w:sz w:val="18"/>
                  <w:szCs w:val="18"/>
                  <w:color w:val="0000FF"/>
                </w:rPr>
                <w:t>effective September 6, 2000</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10.16</w:t>
            </w:r>
          </w:p>
        </w:tc>
        <w:tc>
          <w:tcPr>
            <w:tcW w:w="5360" w:type="dxa"/>
            <w:vAlign w:val="bottom"/>
            <w:gridSpan w:val="20"/>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Second Amendment to Chemed/Roto-Rooter Savings &amp; Retirement Plan</w:t>
              </w:r>
            </w:hyperlink>
          </w:p>
        </w:tc>
      </w:tr>
      <w:tr>
        <w:trPr>
          <w:trHeight w:val="169"/>
        </w:trPr>
        <w:tc>
          <w:tcPr>
            <w:tcW w:w="1220" w:type="dxa"/>
            <w:vAlign w:val="bottom"/>
          </w:tcPr>
          <w:p>
            <w:pPr>
              <w:spacing w:after="0"/>
              <w:rPr>
                <w:sz w:val="14"/>
                <w:szCs w:val="14"/>
                <w:color w:val="auto"/>
              </w:rPr>
            </w:pPr>
          </w:p>
        </w:tc>
        <w:tc>
          <w:tcPr>
            <w:tcW w:w="18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effective January 1, 2001</w:t>
              </w:r>
            </w:hyperlink>
          </w:p>
        </w:tc>
        <w:tc>
          <w:tcPr>
            <w:tcW w:w="20" w:type="dxa"/>
            <w:vAlign w:val="bottom"/>
            <w:tcBorders>
              <w:top w:val="single" w:sz="8" w:color="0000FF"/>
              <w:bottom w:val="single" w:sz="8" w:color="0000EE"/>
            </w:tcBorders>
          </w:tcPr>
          <w:p>
            <w:pPr>
              <w:spacing w:after="0"/>
              <w:rPr>
                <w:sz w:val="14"/>
                <w:szCs w:val="14"/>
                <w:color w:val="auto"/>
              </w:rPr>
            </w:pPr>
          </w:p>
        </w:tc>
        <w:tc>
          <w:tcPr>
            <w:tcW w:w="3460" w:type="dxa"/>
            <w:vAlign w:val="bottom"/>
            <w:tcBorders>
              <w:top w:val="single" w:sz="8" w:color="0000FF"/>
            </w:tcBorders>
            <w:gridSpan w:val="16"/>
          </w:tcPr>
          <w:p>
            <w:pPr>
              <w:spacing w:after="0"/>
              <w:rPr>
                <w:sz w:val="14"/>
                <w:szCs w:val="14"/>
                <w:color w:val="auto"/>
              </w:rPr>
            </w:pPr>
          </w:p>
        </w:tc>
        <w:tc>
          <w:tcPr>
            <w:tcW w:w="60" w:type="dxa"/>
            <w:vAlign w:val="bottom"/>
          </w:tcPr>
          <w:p>
            <w:pPr>
              <w:spacing w:after="0"/>
              <w:rPr>
                <w:sz w:val="14"/>
                <w:szCs w:val="14"/>
                <w:color w:val="auto"/>
              </w:rPr>
            </w:pPr>
          </w:p>
        </w:tc>
      </w:tr>
      <w:tr>
        <w:trPr>
          <w:trHeight w:val="480"/>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10.17</w:t>
            </w:r>
          </w:p>
        </w:tc>
        <w:tc>
          <w:tcPr>
            <w:tcW w:w="5360" w:type="dxa"/>
            <w:vAlign w:val="bottom"/>
            <w:gridSpan w:val="20"/>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Third Amendment to Chemed/Roto-Rooter Savings &amp; Retirement Plan</w:t>
              </w:r>
            </w:hyperlink>
          </w:p>
        </w:tc>
      </w:tr>
      <w:tr>
        <w:trPr>
          <w:trHeight w:val="169"/>
        </w:trPr>
        <w:tc>
          <w:tcPr>
            <w:tcW w:w="1220" w:type="dxa"/>
            <w:vAlign w:val="bottom"/>
          </w:tcPr>
          <w:p>
            <w:pPr>
              <w:spacing w:after="0"/>
              <w:rPr>
                <w:sz w:val="14"/>
                <w:szCs w:val="14"/>
                <w:color w:val="auto"/>
              </w:rPr>
            </w:pPr>
          </w:p>
        </w:tc>
        <w:tc>
          <w:tcPr>
            <w:tcW w:w="51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71">
              <w:r>
                <w:rPr>
                  <w:rFonts w:ascii="Arial" w:cs="Arial" w:eastAsia="Arial" w:hAnsi="Arial"/>
                  <w:sz w:val="18"/>
                  <w:szCs w:val="18"/>
                  <w:color w:val="0000FF"/>
                </w:rPr>
                <w:t>effective December 12, 2001</w:t>
              </w:r>
            </w:hyperlink>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520"/>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10.18</w:t>
            </w:r>
          </w:p>
        </w:tc>
        <w:tc>
          <w:tcPr>
            <w:tcW w:w="20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Directors Emeriti Plan (p)</w:t>
            </w:r>
          </w:p>
        </w:tc>
        <w:tc>
          <w:tcPr>
            <w:tcW w:w="3280" w:type="dxa"/>
            <w:vAlign w:val="bottom"/>
            <w:gridSpan w:val="15"/>
          </w:tcPr>
          <w:p>
            <w:pPr>
              <w:spacing w:after="0"/>
              <w:rPr>
                <w:sz w:val="24"/>
                <w:szCs w:val="24"/>
                <w:color w:val="auto"/>
              </w:rPr>
            </w:pPr>
          </w:p>
        </w:tc>
      </w:tr>
      <w:tr>
        <w:trPr>
          <w:trHeight w:val="418"/>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10.19</w:t>
            </w:r>
          </w:p>
        </w:tc>
        <w:tc>
          <w:tcPr>
            <w:tcW w:w="5360" w:type="dxa"/>
            <w:vAlign w:val="bottom"/>
            <w:gridSpan w:val="20"/>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Change in Control Severance Plan as amended August 3, 2018</w:t>
              </w:r>
            </w:hyperlink>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66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10.20</w:t>
            </w:r>
          </w:p>
        </w:tc>
        <w:tc>
          <w:tcPr>
            <w:tcW w:w="5360" w:type="dxa"/>
            <w:vAlign w:val="bottom"/>
            <w:gridSpan w:val="20"/>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Senior Executive Severance Policy as amended August 3, 2018</w:t>
              </w:r>
            </w:hyperlink>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668"/>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10.21</w:t>
            </w:r>
          </w:p>
        </w:tc>
        <w:tc>
          <w:tcPr>
            <w:tcW w:w="5360" w:type="dxa"/>
            <w:vAlign w:val="bottom"/>
            <w:gridSpan w:val="20"/>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Roto-Rooter Deferred Compensation Plan No.1, as amended January 1,</w:t>
              </w:r>
            </w:hyperlink>
          </w:p>
        </w:tc>
      </w:tr>
      <w:tr>
        <w:trPr>
          <w:trHeight w:val="169"/>
        </w:trPr>
        <w:tc>
          <w:tcPr>
            <w:tcW w:w="12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4"/>
              </w:rPr>
            </w:pPr>
            <w:hyperlink r:id="rId72">
              <w:r>
                <w:rPr>
                  <w:rFonts w:ascii="Arial" w:cs="Arial" w:eastAsia="Arial" w:hAnsi="Arial"/>
                  <w:sz w:val="18"/>
                  <w:szCs w:val="18"/>
                  <w:color w:val="0000FF"/>
                  <w:w w:val="84"/>
                </w:rPr>
                <w:t>1998</w:t>
              </w:r>
            </w:hyperlink>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7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10.22</w:t>
            </w:r>
          </w:p>
        </w:tc>
        <w:tc>
          <w:tcPr>
            <w:tcW w:w="5360" w:type="dxa"/>
            <w:vAlign w:val="bottom"/>
            <w:gridSpan w:val="20"/>
          </w:tcPr>
          <w:p>
            <w:pPr>
              <w:spacing w:after="0"/>
              <w:rPr>
                <w:rFonts w:ascii="Arial" w:cs="Arial" w:eastAsia="Arial" w:hAnsi="Arial"/>
                <w:sz w:val="18"/>
                <w:szCs w:val="18"/>
                <w:color w:val="0000FF"/>
              </w:rPr>
            </w:pPr>
            <w:hyperlink r:id="rId73">
              <w:r>
                <w:rPr>
                  <w:rFonts w:ascii="Arial" w:cs="Arial" w:eastAsia="Arial" w:hAnsi="Arial"/>
                  <w:sz w:val="18"/>
                  <w:szCs w:val="18"/>
                  <w:color w:val="0000FF"/>
                </w:rPr>
                <w:t>Roto-Rooter Deferred Compensation Plan No. 2</w:t>
              </w:r>
            </w:hyperlink>
          </w:p>
        </w:tc>
      </w:tr>
      <w:tr>
        <w:trPr>
          <w:trHeight w:val="20"/>
        </w:trPr>
        <w:tc>
          <w:tcPr>
            <w:tcW w:w="1220" w:type="dxa"/>
            <w:vAlign w:val="bottom"/>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43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10.23</w:t>
            </w:r>
          </w:p>
        </w:tc>
        <w:tc>
          <w:tcPr>
            <w:tcW w:w="5360" w:type="dxa"/>
            <w:vAlign w:val="bottom"/>
            <w:gridSpan w:val="20"/>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Performance Based Restricted Stock Unit Award</w:t>
              </w:r>
            </w:hyperlink>
          </w:p>
        </w:tc>
      </w:tr>
      <w:tr>
        <w:trPr>
          <w:trHeight w:val="66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10.24</w:t>
            </w:r>
          </w:p>
        </w:tc>
        <w:tc>
          <w:tcPr>
            <w:tcW w:w="4140" w:type="dxa"/>
            <w:vAlign w:val="bottom"/>
            <w:tcBorders>
              <w:top w:val="single" w:sz="8" w:color="0000FF"/>
            </w:tcBorders>
            <w:gridSpan w:val="10"/>
          </w:tcPr>
          <w:p>
            <w:pPr>
              <w:spacing w:after="0"/>
              <w:rPr>
                <w:rFonts w:ascii="Arial" w:cs="Arial" w:eastAsia="Arial" w:hAnsi="Arial"/>
                <w:sz w:val="18"/>
                <w:szCs w:val="18"/>
                <w:color w:val="0000FF"/>
              </w:rPr>
            </w:pPr>
            <w:hyperlink r:id="rId75">
              <w:r>
                <w:rPr>
                  <w:rFonts w:ascii="Arial" w:cs="Arial" w:eastAsia="Arial" w:hAnsi="Arial"/>
                  <w:sz w:val="18"/>
                  <w:szCs w:val="18"/>
                  <w:color w:val="0000FF"/>
                </w:rPr>
                <w:t>Form of Stock Option Grant Pre-2013</w:t>
              </w:r>
            </w:hyperlink>
          </w:p>
        </w:tc>
        <w:tc>
          <w:tcPr>
            <w:tcW w:w="1220" w:type="dxa"/>
            <w:vAlign w:val="bottom"/>
            <w:gridSpan w:val="10"/>
          </w:tcPr>
          <w:p>
            <w:pPr>
              <w:spacing w:after="0"/>
              <w:rPr>
                <w:sz w:val="24"/>
                <w:szCs w:val="24"/>
                <w:color w:val="auto"/>
              </w:rPr>
            </w:pPr>
          </w:p>
        </w:tc>
      </w:tr>
      <w:tr>
        <w:trPr>
          <w:trHeight w:val="43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10.25</w:t>
            </w:r>
          </w:p>
        </w:tc>
        <w:tc>
          <w:tcPr>
            <w:tcW w:w="25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Form of Stock Option Grant - 2013</w:t>
              </w:r>
            </w:hyperlink>
          </w:p>
        </w:tc>
        <w:tc>
          <w:tcPr>
            <w:tcW w:w="20" w:type="dxa"/>
            <w:vAlign w:val="bottom"/>
            <w:tcBorders>
              <w:top w:val="single" w:sz="8" w:color="0000FF"/>
              <w:bottom w:val="single" w:sz="8" w:color="0000EE"/>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20" w:type="dxa"/>
            <w:vAlign w:val="bottom"/>
            <w:gridSpan w:val="12"/>
          </w:tcPr>
          <w:p>
            <w:pPr>
              <w:spacing w:after="0"/>
              <w:rPr>
                <w:sz w:val="24"/>
                <w:szCs w:val="24"/>
                <w:color w:val="auto"/>
              </w:rPr>
            </w:pPr>
          </w:p>
        </w:tc>
      </w:tr>
      <w:tr>
        <w:trPr>
          <w:trHeight w:val="43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10.26</w:t>
            </w:r>
          </w:p>
        </w:tc>
        <w:tc>
          <w:tcPr>
            <w:tcW w:w="2560" w:type="dxa"/>
            <w:vAlign w:val="bottom"/>
            <w:tcBorders>
              <w:bottom w:val="single" w:sz="8" w:color="0000FF"/>
            </w:tcBorders>
            <w:gridSpan w:val="6"/>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Stock Option Grant - 2015</w:t>
              </w:r>
            </w:hyperlink>
          </w:p>
        </w:tc>
        <w:tc>
          <w:tcPr>
            <w:tcW w:w="20" w:type="dxa"/>
            <w:vAlign w:val="bottom"/>
            <w:tcBorders>
              <w:bottom w:val="single" w:sz="8" w:color="0000EE"/>
            </w:tcBorders>
          </w:tcPr>
          <w:p>
            <w:pPr>
              <w:spacing w:after="0"/>
              <w:rPr>
                <w:sz w:val="24"/>
                <w:szCs w:val="24"/>
                <w:color w:val="auto"/>
              </w:rPr>
            </w:pPr>
          </w:p>
        </w:tc>
        <w:tc>
          <w:tcPr>
            <w:tcW w:w="2780" w:type="dxa"/>
            <w:vAlign w:val="bottom"/>
            <w:gridSpan w:val="13"/>
          </w:tcPr>
          <w:p>
            <w:pPr>
              <w:spacing w:after="0"/>
              <w:rPr>
                <w:sz w:val="24"/>
                <w:szCs w:val="24"/>
                <w:color w:val="auto"/>
              </w:rPr>
            </w:pPr>
          </w:p>
        </w:tc>
      </w:tr>
      <w:tr>
        <w:trPr>
          <w:trHeight w:val="43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10.27</w:t>
            </w:r>
          </w:p>
        </w:tc>
        <w:tc>
          <w:tcPr>
            <w:tcW w:w="2560" w:type="dxa"/>
            <w:vAlign w:val="bottom"/>
            <w:tcBorders>
              <w:bottom w:val="single" w:sz="8" w:color="0000FF"/>
            </w:tcBorders>
            <w:gridSpan w:val="6"/>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Form of Stock Option Grant - 2018</w:t>
              </w:r>
            </w:hyperlink>
          </w:p>
        </w:tc>
        <w:tc>
          <w:tcPr>
            <w:tcW w:w="20" w:type="dxa"/>
            <w:vAlign w:val="bottom"/>
            <w:tcBorders>
              <w:bottom w:val="single" w:sz="8" w:color="0000EE"/>
            </w:tcBorders>
          </w:tcPr>
          <w:p>
            <w:pPr>
              <w:spacing w:after="0"/>
              <w:rPr>
                <w:sz w:val="24"/>
                <w:szCs w:val="24"/>
                <w:color w:val="auto"/>
              </w:rPr>
            </w:pPr>
          </w:p>
        </w:tc>
        <w:tc>
          <w:tcPr>
            <w:tcW w:w="2780" w:type="dxa"/>
            <w:vAlign w:val="bottom"/>
            <w:gridSpan w:val="13"/>
          </w:tcPr>
          <w:p>
            <w:pPr>
              <w:spacing w:after="0"/>
              <w:rPr>
                <w:sz w:val="24"/>
                <w:szCs w:val="24"/>
                <w:color w:val="auto"/>
              </w:rPr>
            </w:pPr>
          </w:p>
        </w:tc>
      </w:tr>
      <w:tr>
        <w:trPr>
          <w:trHeight w:val="439"/>
        </w:trPr>
        <w:tc>
          <w:tcPr>
            <w:tcW w:w="1220" w:type="dxa"/>
            <w:vAlign w:val="bottom"/>
          </w:tcPr>
          <w:p>
            <w:pPr>
              <w:jc w:val="right"/>
              <w:ind w:right="710"/>
              <w:spacing w:after="0"/>
              <w:rPr>
                <w:sz w:val="20"/>
                <w:szCs w:val="20"/>
                <w:color w:val="auto"/>
              </w:rPr>
            </w:pPr>
            <w:r>
              <w:rPr>
                <w:rFonts w:ascii="Arial" w:cs="Arial" w:eastAsia="Arial" w:hAnsi="Arial"/>
                <w:sz w:val="18"/>
                <w:szCs w:val="18"/>
                <w:color w:val="auto"/>
                <w:w w:val="88"/>
              </w:rPr>
              <w:t>10.28</w:t>
            </w:r>
          </w:p>
        </w:tc>
        <w:tc>
          <w:tcPr>
            <w:tcW w:w="5360" w:type="dxa"/>
            <w:vAlign w:val="bottom"/>
            <w:gridSpan w:val="20"/>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Settlement Agreement, effective October 30, 2017 by and among the</w:t>
              </w:r>
            </w:hyperlink>
          </w:p>
        </w:tc>
      </w:tr>
      <w:tr>
        <w:trPr>
          <w:trHeight w:val="169"/>
        </w:trPr>
        <w:tc>
          <w:tcPr>
            <w:tcW w:w="122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88"/>
              </w:rPr>
            </w:pPr>
            <w:hyperlink r:id="rId79">
              <w:r>
                <w:rPr>
                  <w:rFonts w:ascii="Arial" w:cs="Arial" w:eastAsia="Arial" w:hAnsi="Arial"/>
                  <w:sz w:val="18"/>
                  <w:szCs w:val="18"/>
                  <w:color w:val="0000FF"/>
                  <w:w w:val="88"/>
                </w:rPr>
                <w:t>United States of America, acting through the United States Department</w:t>
              </w:r>
            </w:hyperlink>
          </w:p>
        </w:tc>
        <w:tc>
          <w:tcPr>
            <w:tcW w:w="80" w:type="dxa"/>
            <w:vAlign w:val="bottom"/>
            <w:tcBorders>
              <w:bottom w:val="single" w:sz="8" w:color="0000FF"/>
            </w:tcBorders>
          </w:tcPr>
          <w:p>
            <w:pPr>
              <w:spacing w:after="0"/>
              <w:rPr>
                <w:sz w:val="14"/>
                <w:szCs w:val="14"/>
                <w:color w:val="auto"/>
              </w:rPr>
            </w:pPr>
          </w:p>
        </w:tc>
        <w:tc>
          <w:tcPr>
            <w:tcW w:w="280" w:type="dxa"/>
            <w:vAlign w:val="bottom"/>
            <w:tcBorders>
              <w:bottom w:val="single" w:sz="8" w:color="0000FF"/>
            </w:tcBorders>
            <w:gridSpan w:val="5"/>
          </w:tcPr>
          <w:p>
            <w:pPr>
              <w:ind w:left="100"/>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of</w:t>
              </w:r>
            </w:hyperlink>
          </w:p>
        </w:tc>
      </w:tr>
      <w:tr>
        <w:trPr>
          <w:trHeight w:val="169"/>
        </w:trPr>
        <w:tc>
          <w:tcPr>
            <w:tcW w:w="1220" w:type="dxa"/>
            <w:vAlign w:val="bottom"/>
          </w:tcPr>
          <w:p>
            <w:pPr>
              <w:spacing w:after="0"/>
              <w:rPr>
                <w:sz w:val="14"/>
                <w:szCs w:val="14"/>
                <w:color w:val="auto"/>
              </w:rPr>
            </w:pPr>
          </w:p>
        </w:tc>
        <w:tc>
          <w:tcPr>
            <w:tcW w:w="4780" w:type="dxa"/>
            <w:vAlign w:val="bottom"/>
            <w:tcBorders>
              <w:bottom w:val="single" w:sz="8" w:color="0000FF"/>
            </w:tcBorders>
            <w:gridSpan w:val="13"/>
          </w:tcPr>
          <w:p>
            <w:pPr>
              <w:spacing w:after="0" w:line="169"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Justice and on behalf of the Office of the Inspector General of the</w:t>
              </w:r>
            </w:hyperlink>
          </w:p>
        </w:tc>
        <w:tc>
          <w:tcPr>
            <w:tcW w:w="580" w:type="dxa"/>
            <w:vAlign w:val="bottom"/>
            <w:gridSpan w:val="7"/>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5080" w:type="dxa"/>
            <w:vAlign w:val="bottom"/>
            <w:tcBorders>
              <w:bottom w:val="single" w:sz="8" w:color="0000FF"/>
            </w:tcBorders>
            <w:gridSpan w:val="15"/>
          </w:tcPr>
          <w:p>
            <w:pPr>
              <w:spacing w:after="0" w:line="169"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Department of Health and Human Services, VITAS Hospice Services,</w:t>
              </w:r>
            </w:hyperlink>
          </w:p>
        </w:tc>
        <w:tc>
          <w:tcPr>
            <w:tcW w:w="280" w:type="dxa"/>
            <w:vAlign w:val="bottom"/>
            <w:gridSpan w:val="5"/>
          </w:tcPr>
          <w:p>
            <w:pPr>
              <w:spacing w:after="0"/>
              <w:rPr>
                <w:sz w:val="14"/>
                <w:szCs w:val="14"/>
                <w:color w:val="auto"/>
              </w:rPr>
            </w:pPr>
          </w:p>
        </w:tc>
      </w:tr>
    </w:tbl>
    <w:p>
      <w:pPr>
        <w:ind w:left="1220"/>
        <w:spacing w:after="0" w:line="254" w:lineRule="auto"/>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L.L.C., VITAS Healthcare Corporation, VITAS Healthcare Corporation of</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California, VITAS Healthcare Corporation of Illinois, VITAS Healthcare</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Corporation of Florida, VITAS Healthcare Corporation of Ohio, VITAS</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Healthcare Corporation of Atlantic, VITAS Healthcare of Texas, L.P.,</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VITAS Healthcare Corporation Midwest, VITAS Healthcare Corporation</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of Georgia, Chemed Corporation, and the various Relators named therein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776605</wp:posOffset>
            </wp:positionH>
            <wp:positionV relativeFrom="paragraph">
              <wp:posOffset>-629920</wp:posOffset>
            </wp:positionV>
            <wp:extent cx="3430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343027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-509905</wp:posOffset>
            </wp:positionV>
            <wp:extent cx="33635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336359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-389890</wp:posOffset>
            </wp:positionV>
            <wp:extent cx="3316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331660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-269875</wp:posOffset>
            </wp:positionV>
            <wp:extent cx="3212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321246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-149860</wp:posOffset>
            </wp:positionV>
            <wp:extent cx="33769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3376930"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-29845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3" w:lineRule="exact"/>
        <w:rPr>
          <w:rFonts w:ascii="Arial" w:cs="Arial" w:eastAsia="Arial" w:hAnsi="Arial"/>
          <w:sz w:val="16"/>
          <w:szCs w:val="16"/>
          <w:u w:val="single" w:color="auto"/>
          <w:color w:val="0000FF"/>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Form 10-K 3/24/88,**</w:t>
            </w: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Form 10-K 3/25/99,**</w:t>
            </w:r>
          </w:p>
        </w:tc>
        <w:tc>
          <w:tcPr>
            <w:tcW w:w="102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Form 10-K 3/28/02,**</w:t>
            </w: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Form 10-K 3/28/02,**</w:t>
            </w:r>
          </w:p>
        </w:tc>
        <w:tc>
          <w:tcPr>
            <w:tcW w:w="102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Form 10-K 3/28/02,**</w:t>
            </w:r>
          </w:p>
        </w:tc>
        <w:tc>
          <w:tcPr>
            <w:tcW w:w="102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689"/>
        </w:trPr>
        <w:tc>
          <w:tcPr>
            <w:tcW w:w="2280" w:type="dxa"/>
            <w:vAlign w:val="bottom"/>
          </w:tcPr>
          <w:p>
            <w:pPr>
              <w:spacing w:after="0"/>
              <w:rPr>
                <w:sz w:val="20"/>
                <w:szCs w:val="20"/>
                <w:color w:val="auto"/>
              </w:rPr>
            </w:pPr>
            <w:r>
              <w:rPr>
                <w:rFonts w:ascii="Arial" w:cs="Arial" w:eastAsia="Arial" w:hAnsi="Arial"/>
                <w:sz w:val="18"/>
                <w:szCs w:val="18"/>
                <w:color w:val="auto"/>
              </w:rPr>
              <w:t>Form 10-Q 5/12/88, **</w:t>
            </w:r>
          </w:p>
        </w:tc>
        <w:tc>
          <w:tcPr>
            <w:tcW w:w="102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459"/>
        </w:trPr>
        <w:tc>
          <w:tcPr>
            <w:tcW w:w="2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689"/>
        </w:trPr>
        <w:tc>
          <w:tcPr>
            <w:tcW w:w="2280" w:type="dxa"/>
            <w:vAlign w:val="bottom"/>
          </w:tcPr>
          <w:p>
            <w:pPr>
              <w:spacing w:after="0"/>
              <w:rPr>
                <w:sz w:val="20"/>
                <w:szCs w:val="20"/>
                <w:color w:val="auto"/>
              </w:rPr>
            </w:pPr>
            <w:r>
              <w:rPr>
                <w:rFonts w:ascii="Arial" w:cs="Arial" w:eastAsia="Arial" w:hAnsi="Arial"/>
                <w:sz w:val="18"/>
                <w:szCs w:val="18"/>
                <w:color w:val="auto"/>
              </w:rPr>
              <w:t>Form 10-K 3/28/01,**</w:t>
            </w:r>
          </w:p>
        </w:tc>
        <w:tc>
          <w:tcPr>
            <w:tcW w:w="102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Form 10-K 3/28/01,**</w:t>
            </w:r>
          </w:p>
        </w:tc>
        <w:tc>
          <w:tcPr>
            <w:tcW w:w="102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459"/>
        </w:trPr>
        <w:tc>
          <w:tcPr>
            <w:tcW w:w="2280" w:type="dxa"/>
            <w:vAlign w:val="bottom"/>
          </w:tcPr>
          <w:p>
            <w:pPr>
              <w:spacing w:after="0"/>
              <w:rPr>
                <w:sz w:val="20"/>
                <w:szCs w:val="20"/>
                <w:color w:val="auto"/>
              </w:rPr>
            </w:pPr>
            <w:r>
              <w:rPr>
                <w:rFonts w:ascii="Arial" w:cs="Arial" w:eastAsia="Arial" w:hAnsi="Arial"/>
                <w:sz w:val="18"/>
                <w:szCs w:val="18"/>
                <w:color w:val="auto"/>
              </w:rPr>
              <w:t>Form 10-K 2/27/14,**</w:t>
            </w:r>
          </w:p>
        </w:tc>
        <w:tc>
          <w:tcPr>
            <w:tcW w:w="10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688"/>
        </w:trPr>
        <w:tc>
          <w:tcPr>
            <w:tcW w:w="2280" w:type="dxa"/>
            <w:vAlign w:val="bottom"/>
          </w:tcPr>
          <w:p>
            <w:pPr>
              <w:spacing w:after="0"/>
              <w:rPr>
                <w:sz w:val="20"/>
                <w:szCs w:val="20"/>
                <w:color w:val="auto"/>
              </w:rPr>
            </w:pPr>
            <w:r>
              <w:rPr>
                <w:rFonts w:ascii="Arial" w:cs="Arial" w:eastAsia="Arial" w:hAnsi="Arial"/>
                <w:sz w:val="18"/>
                <w:szCs w:val="18"/>
                <w:color w:val="auto"/>
              </w:rPr>
              <w:t>Form 10-K 3/28/05,**</w:t>
            </w: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459"/>
        </w:trPr>
        <w:tc>
          <w:tcPr>
            <w:tcW w:w="2280" w:type="dxa"/>
            <w:vAlign w:val="bottom"/>
          </w:tcPr>
          <w:p>
            <w:pPr>
              <w:spacing w:after="0"/>
              <w:rPr>
                <w:sz w:val="20"/>
                <w:szCs w:val="20"/>
                <w:color w:val="auto"/>
              </w:rPr>
            </w:pPr>
            <w:r>
              <w:rPr>
                <w:rFonts w:ascii="Arial" w:cs="Arial" w:eastAsia="Arial" w:hAnsi="Arial"/>
                <w:sz w:val="18"/>
                <w:szCs w:val="18"/>
                <w:color w:val="auto"/>
              </w:rPr>
              <w:t>Form 10-K 2/27/14,**</w:t>
            </w:r>
          </w:p>
        </w:tc>
        <w:tc>
          <w:tcPr>
            <w:tcW w:w="102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459"/>
        </w:trPr>
        <w:tc>
          <w:tcPr>
            <w:tcW w:w="2280" w:type="dxa"/>
            <w:vAlign w:val="bottom"/>
          </w:tcPr>
          <w:p>
            <w:pPr>
              <w:spacing w:after="0"/>
              <w:rPr>
                <w:sz w:val="20"/>
                <w:szCs w:val="20"/>
                <w:color w:val="auto"/>
              </w:rPr>
            </w:pPr>
            <w:r>
              <w:rPr>
                <w:rFonts w:ascii="Arial" w:cs="Arial" w:eastAsia="Arial" w:hAnsi="Arial"/>
                <w:sz w:val="18"/>
                <w:szCs w:val="18"/>
                <w:color w:val="auto"/>
              </w:rPr>
              <w:t>Form 10-K 2/26/16,**</w:t>
            </w:r>
          </w:p>
        </w:tc>
        <w:tc>
          <w:tcPr>
            <w:tcW w:w="10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459"/>
        </w:trPr>
        <w:tc>
          <w:tcPr>
            <w:tcW w:w="2280" w:type="dxa"/>
            <w:vAlign w:val="bottom"/>
          </w:tcPr>
          <w:p>
            <w:pPr>
              <w:spacing w:after="0"/>
              <w:rPr>
                <w:sz w:val="20"/>
                <w:szCs w:val="20"/>
                <w:color w:val="auto"/>
              </w:rPr>
            </w:pPr>
            <w:r>
              <w:rPr>
                <w:rFonts w:ascii="Arial" w:cs="Arial" w:eastAsia="Arial" w:hAnsi="Arial"/>
                <w:sz w:val="18"/>
                <w:szCs w:val="18"/>
                <w:color w:val="auto"/>
              </w:rPr>
              <w:t>Form 10-K 2/26/20,**</w:t>
            </w:r>
          </w:p>
        </w:tc>
        <w:tc>
          <w:tcPr>
            <w:tcW w:w="102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459"/>
        </w:trPr>
        <w:tc>
          <w:tcPr>
            <w:tcW w:w="2280" w:type="dxa"/>
            <w:vAlign w:val="bottom"/>
          </w:tcPr>
          <w:p>
            <w:pPr>
              <w:spacing w:after="0"/>
              <w:rPr>
                <w:sz w:val="20"/>
                <w:szCs w:val="20"/>
                <w:color w:val="auto"/>
              </w:rPr>
            </w:pPr>
            <w:r>
              <w:rPr>
                <w:rFonts w:ascii="Arial" w:cs="Arial" w:eastAsia="Arial" w:hAnsi="Arial"/>
                <w:sz w:val="18"/>
                <w:szCs w:val="18"/>
                <w:color w:val="auto"/>
              </w:rPr>
              <w:t>Form 8-K 11/2/17</w:t>
            </w: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r>
    </w:tbl>
    <w:p>
      <w:pPr>
        <w:sectPr>
          <w:pgSz w:w="11900" w:h="16838" w:orient="portrait"/>
          <w:cols w:equalWidth="0" w:num="2">
            <w:col w:w="6580" w:space="480"/>
            <w:col w:w="3300"/>
          </w:cols>
          <w:pgMar w:left="320" w:top="341" w:right="1219" w:bottom="1440" w:gutter="0" w:footer="0" w:header="0"/>
        </w:sectPr>
      </w:pPr>
    </w:p>
    <w:bookmarkStart w:id="38" w:name="page39"/>
    <w:bookmarkEnd w:id="38"/>
    <w:p>
      <w:pPr>
        <w:spacing w:after="0"/>
        <w:tabs>
          <w:tab w:leader="none" w:pos="1200" w:val="left"/>
          <w:tab w:leader="none" w:pos="7040" w:val="left"/>
          <w:tab w:leader="none" w:pos="99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87">
        <w:r>
          <w:rPr>
            <w:rFonts w:ascii="Arial" w:cs="Arial" w:eastAsia="Arial" w:hAnsi="Arial"/>
            <w:sz w:val="18"/>
            <w:szCs w:val="18"/>
            <w:u w:val="single" w:color="auto"/>
            <w:color w:val="0000FF"/>
          </w:rPr>
          <w:t>Corporate Integrity Agreement, effective October 30, 2017 between the</w:t>
        </w:r>
      </w:hyperlink>
      <w:r>
        <w:rPr>
          <w:rFonts w:ascii="Arial" w:cs="Arial" w:eastAsia="Arial" w:hAnsi="Arial"/>
          <w:sz w:val="18"/>
          <w:szCs w:val="18"/>
          <w:u w:val="single" w:color="auto"/>
          <w:color w:val="0000FF"/>
        </w:rPr>
        <w:tab/>
        <w:t>Form 8-K 11/2/17</w:t>
        <w:tab/>
      </w:r>
      <w:r>
        <w:rPr>
          <w:rFonts w:ascii="Arial" w:cs="Arial" w:eastAsia="Arial" w:hAnsi="Arial"/>
          <w:sz w:val="15"/>
          <w:szCs w:val="15"/>
          <w:u w:val="single" w:color="auto"/>
          <w:color w:val="0000FF"/>
        </w:rPr>
        <w:t>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300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Office of Inspector General of the Department of Health and Human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161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3161030" cy="8255"/>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Services and VITAS Hospice Services, L.L.C., VITAS Healthcare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049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3049905" cy="8255"/>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Corporation, VITAS Healthcare Corporation of California, VITAS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0689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Healthcare Corporation of Illinois, VITAS Healthcare Corporation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192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Florida, VITAS Healthcare Corporation of Ohio, VITAS Healthcare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1356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Corporation of Atlantic, VITAS Healthcare of Texas, L.P., VITAS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-8255</wp:posOffset>
            </wp:positionV>
            <wp:extent cx="3044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3044825" cy="8255"/>
                    </a:xfrm>
                    <a:prstGeom prst="rect">
                      <a:avLst/>
                    </a:prstGeom>
                    <a:noFill/>
                  </pic:spPr>
                </pic:pic>
              </a:graphicData>
            </a:graphic>
          </wp:anchor>
        </w:drawing>
      </w:r>
    </w:p>
    <w:p>
      <w:pPr>
        <w:ind w:left="1220"/>
        <w:spacing w:after="0" w:line="220"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Healthcare Corporation Midwest, and VITAS Healthcare Corporation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-8890</wp:posOffset>
            </wp:positionV>
            <wp:extent cx="3338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ind w:left="122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Georgia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-20320</wp:posOffset>
            </wp:positionV>
            <wp:extent cx="365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10.30</w:t>
            </w:r>
          </w:p>
        </w:tc>
        <w:tc>
          <w:tcPr>
            <w:tcW w:w="5460" w:type="dxa"/>
            <w:vAlign w:val="bottom"/>
            <w:gridSpan w:val="20"/>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Fourth Amended and Restated Credit Agreement by and among Chemed</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Form 8-K 6/22/18</w:t>
            </w:r>
          </w:p>
        </w:tc>
        <w:tc>
          <w:tcPr>
            <w:tcW w:w="1920" w:type="dxa"/>
            <w:vAlign w:val="bottom"/>
          </w:tcPr>
          <w:p>
            <w:pPr>
              <w:ind w:left="640"/>
              <w:spacing w:after="0"/>
              <w:rPr>
                <w:sz w:val="20"/>
                <w:szCs w:val="20"/>
                <w:color w:val="auto"/>
              </w:rPr>
            </w:pPr>
            <w:r>
              <w:rPr>
                <w:rFonts w:ascii="Arial" w:cs="Arial" w:eastAsia="Arial" w:hAnsi="Arial"/>
                <w:sz w:val="18"/>
                <w:szCs w:val="18"/>
                <w:color w:val="auto"/>
              </w:rPr>
              <w:t>10.10</w:t>
            </w:r>
          </w:p>
        </w:tc>
      </w:tr>
      <w:tr>
        <w:trPr>
          <w:trHeight w:val="169"/>
        </w:trPr>
        <w:tc>
          <w:tcPr>
            <w:tcW w:w="122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88"/>
              </w:rPr>
            </w:pPr>
            <w:hyperlink r:id="rId97">
              <w:r>
                <w:rPr>
                  <w:rFonts w:ascii="Arial" w:cs="Arial" w:eastAsia="Arial" w:hAnsi="Arial"/>
                  <w:sz w:val="18"/>
                  <w:szCs w:val="18"/>
                  <w:color w:val="0000FF"/>
                  <w:w w:val="88"/>
                </w:rPr>
                <w:t>Corporation, JP Morgan Chase Bank NA, and other lenders as of June 20,</w:t>
              </w:r>
            </w:hyperlink>
          </w:p>
        </w:tc>
        <w:tc>
          <w:tcPr>
            <w:tcW w:w="8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580" w:type="dxa"/>
            <w:vAlign w:val="bottom"/>
            <w:tcBorders>
              <w:bottom w:val="single" w:sz="8" w:color="0000FF"/>
            </w:tcBorders>
            <w:gridSpan w:val="7"/>
          </w:tcPr>
          <w:p>
            <w:pPr>
              <w:spacing w:after="0" w:line="169" w:lineRule="exact"/>
              <w:rPr>
                <w:rFonts w:ascii="Arial" w:cs="Arial" w:eastAsia="Arial" w:hAnsi="Arial"/>
                <w:sz w:val="18"/>
                <w:szCs w:val="18"/>
                <w:color w:val="0000FF"/>
                <w:w w:val="88"/>
              </w:rPr>
            </w:pPr>
            <w:hyperlink r:id="rId97">
              <w:r>
                <w:rPr>
                  <w:rFonts w:ascii="Arial" w:cs="Arial" w:eastAsia="Arial" w:hAnsi="Arial"/>
                  <w:sz w:val="18"/>
                  <w:szCs w:val="18"/>
                  <w:color w:val="0000FF"/>
                  <w:w w:val="88"/>
                </w:rPr>
                <w:t>2018 exhibits and schedules thereto</w:t>
              </w:r>
            </w:hyperlink>
          </w:p>
        </w:tc>
        <w:tc>
          <w:tcPr>
            <w:tcW w:w="20" w:type="dxa"/>
            <w:vAlign w:val="bottom"/>
            <w:tcBorders>
              <w:bottom w:val="single" w:sz="8" w:color="0000EE"/>
            </w:tcBorders>
          </w:tcPr>
          <w:p>
            <w:pPr>
              <w:spacing w:after="0"/>
              <w:rPr>
                <w:sz w:val="14"/>
                <w:szCs w:val="14"/>
                <w:color w:val="auto"/>
              </w:rPr>
            </w:pPr>
          </w:p>
        </w:tc>
        <w:tc>
          <w:tcPr>
            <w:tcW w:w="2760" w:type="dxa"/>
            <w:vAlign w:val="bottom"/>
            <w:gridSpan w:val="9"/>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750"/>
        </w:trPr>
        <w:tc>
          <w:tcPr>
            <w:tcW w:w="1220" w:type="dxa"/>
            <w:vAlign w:val="bottom"/>
          </w:tcPr>
          <w:p>
            <w:pPr>
              <w:spacing w:after="0"/>
              <w:rPr>
                <w:sz w:val="20"/>
                <w:szCs w:val="20"/>
                <w:color w:val="auto"/>
              </w:rPr>
            </w:pPr>
            <w:r>
              <w:rPr>
                <w:rFonts w:ascii="Arial" w:cs="Arial" w:eastAsia="Arial" w:hAnsi="Arial"/>
                <w:sz w:val="18"/>
                <w:szCs w:val="18"/>
                <w:color w:val="auto"/>
              </w:rPr>
              <w:t>14</w:t>
            </w:r>
          </w:p>
        </w:tc>
        <w:tc>
          <w:tcPr>
            <w:tcW w:w="3740" w:type="dxa"/>
            <w:vAlign w:val="bottom"/>
            <w:tcBorders>
              <w:bottom w:val="single" w:sz="8" w:color="0000FF"/>
            </w:tcBorders>
            <w:gridSpan w:val="11"/>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Policies on Business Ethics of Chemed Corporation</w:t>
              </w:r>
            </w:hyperlink>
          </w:p>
        </w:tc>
        <w:tc>
          <w:tcPr>
            <w:tcW w:w="1720" w:type="dxa"/>
            <w:vAlign w:val="bottom"/>
            <w:gridSpan w:val="9"/>
          </w:tcPr>
          <w:p>
            <w:pPr>
              <w:spacing w:after="0"/>
              <w:rPr>
                <w:sz w:val="24"/>
                <w:szCs w:val="24"/>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Form 10-K 2/27/14,**</w:t>
            </w:r>
          </w:p>
        </w:tc>
        <w:tc>
          <w:tcPr>
            <w:tcW w:w="1920" w:type="dxa"/>
            <w:vAlign w:val="bottom"/>
          </w:tcPr>
          <w:p>
            <w:pPr>
              <w:ind w:left="640"/>
              <w:spacing w:after="0"/>
              <w:rPr>
                <w:sz w:val="20"/>
                <w:szCs w:val="20"/>
                <w:color w:val="auto"/>
              </w:rPr>
            </w:pPr>
            <w:r>
              <w:rPr>
                <w:rFonts w:ascii="Arial" w:cs="Arial" w:eastAsia="Arial" w:hAnsi="Arial"/>
                <w:sz w:val="18"/>
                <w:szCs w:val="18"/>
                <w:color w:val="auto"/>
              </w:rPr>
              <w:t>14</w:t>
            </w:r>
          </w:p>
        </w:tc>
      </w:tr>
      <w:tr>
        <w:trPr>
          <w:trHeight w:val="439"/>
        </w:trPr>
        <w:tc>
          <w:tcPr>
            <w:tcW w:w="1220" w:type="dxa"/>
            <w:vAlign w:val="bottom"/>
          </w:tcPr>
          <w:p>
            <w:pPr>
              <w:spacing w:after="0"/>
              <w:rPr>
                <w:sz w:val="20"/>
                <w:szCs w:val="20"/>
                <w:color w:val="auto"/>
              </w:rPr>
            </w:pPr>
            <w:r>
              <w:rPr>
                <w:rFonts w:ascii="Arial" w:cs="Arial" w:eastAsia="Arial" w:hAnsi="Arial"/>
                <w:sz w:val="18"/>
                <w:szCs w:val="18"/>
                <w:color w:val="auto"/>
              </w:rPr>
              <w:t>21</w:t>
            </w:r>
          </w:p>
        </w:tc>
        <w:tc>
          <w:tcPr>
            <w:tcW w:w="26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Subsidiaries of Chemed Corporation</w:t>
              </w:r>
            </w:hyperlink>
          </w:p>
        </w:tc>
        <w:tc>
          <w:tcPr>
            <w:tcW w:w="20" w:type="dxa"/>
            <w:vAlign w:val="bottom"/>
            <w:tcBorders>
              <w:bottom w:val="single" w:sz="8" w:color="0000EE"/>
            </w:tcBorders>
          </w:tcPr>
          <w:p>
            <w:pPr>
              <w:spacing w:after="0"/>
              <w:rPr>
                <w:sz w:val="24"/>
                <w:szCs w:val="24"/>
                <w:color w:val="auto"/>
              </w:rPr>
            </w:pPr>
          </w:p>
        </w:tc>
        <w:tc>
          <w:tcPr>
            <w:tcW w:w="2800" w:type="dxa"/>
            <w:vAlign w:val="bottom"/>
            <w:gridSpan w:val="10"/>
          </w:tcPr>
          <w:p>
            <w:pPr>
              <w:spacing w:after="0"/>
              <w:rPr>
                <w:sz w:val="24"/>
                <w:szCs w:val="24"/>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39"/>
        </w:trPr>
        <w:tc>
          <w:tcPr>
            <w:tcW w:w="1220" w:type="dxa"/>
            <w:vAlign w:val="bottom"/>
          </w:tcPr>
          <w:p>
            <w:pPr>
              <w:spacing w:after="0"/>
              <w:rPr>
                <w:sz w:val="20"/>
                <w:szCs w:val="20"/>
                <w:color w:val="auto"/>
              </w:rPr>
            </w:pPr>
            <w:r>
              <w:rPr>
                <w:rFonts w:ascii="Arial" w:cs="Arial" w:eastAsia="Arial" w:hAnsi="Arial"/>
                <w:sz w:val="18"/>
                <w:szCs w:val="18"/>
                <w:color w:val="auto"/>
              </w:rPr>
              <w:t>23</w:t>
            </w:r>
          </w:p>
        </w:tc>
        <w:tc>
          <w:tcPr>
            <w:tcW w:w="5460" w:type="dxa"/>
            <w:vAlign w:val="bottom"/>
            <w:gridSpan w:val="20"/>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Consent of Independent Registered Public Accounting Firm</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668"/>
        </w:trPr>
        <w:tc>
          <w:tcPr>
            <w:tcW w:w="1220" w:type="dxa"/>
            <w:vAlign w:val="bottom"/>
          </w:tcPr>
          <w:p>
            <w:pPr>
              <w:spacing w:after="0"/>
              <w:rPr>
                <w:sz w:val="20"/>
                <w:szCs w:val="20"/>
                <w:color w:val="auto"/>
              </w:rPr>
            </w:pPr>
            <w:r>
              <w:rPr>
                <w:rFonts w:ascii="Arial" w:cs="Arial" w:eastAsia="Arial" w:hAnsi="Arial"/>
                <w:sz w:val="18"/>
                <w:szCs w:val="18"/>
                <w:color w:val="auto"/>
              </w:rPr>
              <w:t>24</w:t>
            </w:r>
          </w:p>
        </w:tc>
        <w:tc>
          <w:tcPr>
            <w:tcW w:w="14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17">
              <w:r>
                <w:rPr>
                  <w:rFonts w:ascii="Arial" w:cs="Arial" w:eastAsia="Arial" w:hAnsi="Arial"/>
                  <w:sz w:val="18"/>
                  <w:szCs w:val="18"/>
                  <w:color w:val="0000FF"/>
                  <w:w w:val="92"/>
                </w:rPr>
                <w:t>Powers of Attorney</w:t>
              </w:r>
            </w:hyperlink>
          </w:p>
        </w:tc>
        <w:tc>
          <w:tcPr>
            <w:tcW w:w="20" w:type="dxa"/>
            <w:vAlign w:val="bottom"/>
            <w:tcBorders>
              <w:top w:val="single" w:sz="8" w:color="0000FF"/>
              <w:bottom w:val="single" w:sz="8" w:color="0000EE"/>
            </w:tcBorders>
          </w:tcPr>
          <w:p>
            <w:pPr>
              <w:spacing w:after="0"/>
              <w:rPr>
                <w:sz w:val="24"/>
                <w:szCs w:val="24"/>
                <w:color w:val="auto"/>
              </w:rPr>
            </w:pPr>
          </w:p>
        </w:tc>
        <w:tc>
          <w:tcPr>
            <w:tcW w:w="2880" w:type="dxa"/>
            <w:vAlign w:val="bottom"/>
            <w:tcBorders>
              <w:top w:val="single" w:sz="8" w:color="0000FF"/>
            </w:tcBorders>
            <w:gridSpan w:val="9"/>
          </w:tcPr>
          <w:p>
            <w:pPr>
              <w:spacing w:after="0"/>
              <w:rPr>
                <w:sz w:val="24"/>
                <w:szCs w:val="24"/>
                <w:color w:val="auto"/>
              </w:rPr>
            </w:pPr>
          </w:p>
        </w:tc>
        <w:tc>
          <w:tcPr>
            <w:tcW w:w="1140" w:type="dxa"/>
            <w:vAlign w:val="bottom"/>
            <w:gridSpan w:val="8"/>
          </w:tcPr>
          <w:p>
            <w:pPr>
              <w:spacing w:after="0"/>
              <w:rPr>
                <w:sz w:val="24"/>
                <w:szCs w:val="24"/>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39"/>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5460" w:type="dxa"/>
            <w:vAlign w:val="bottom"/>
            <w:gridSpan w:val="20"/>
          </w:tcPr>
          <w:p>
            <w:pPr>
              <w:spacing w:after="0"/>
              <w:rPr>
                <w:rFonts w:ascii="Arial" w:cs="Arial" w:eastAsia="Arial" w:hAnsi="Arial"/>
                <w:sz w:val="18"/>
                <w:szCs w:val="18"/>
                <w:color w:val="0000FF"/>
                <w:w w:val="93"/>
              </w:rPr>
            </w:pPr>
            <w:hyperlink w:anchor="page126">
              <w:r>
                <w:rPr>
                  <w:rFonts w:ascii="Arial" w:cs="Arial" w:eastAsia="Arial" w:hAnsi="Arial"/>
                  <w:sz w:val="18"/>
                  <w:szCs w:val="18"/>
                  <w:color w:val="0000FF"/>
                  <w:w w:val="93"/>
                </w:rPr>
                <w:t>Certification by Kevin J. McNamara pursuant to Rule 13a-14(a)/15d-14(a)</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54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126">
              <w:r>
                <w:rPr>
                  <w:rFonts w:ascii="Arial" w:cs="Arial" w:eastAsia="Arial" w:hAnsi="Arial"/>
                  <w:sz w:val="18"/>
                  <w:szCs w:val="18"/>
                  <w:color w:val="0000FF"/>
                </w:rPr>
                <w:t>of the Exchange Act of 1934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709"/>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546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127">
              <w:r>
                <w:rPr>
                  <w:rFonts w:ascii="Arial" w:cs="Arial" w:eastAsia="Arial" w:hAnsi="Arial"/>
                  <w:sz w:val="18"/>
                  <w:szCs w:val="18"/>
                  <w:color w:val="0000FF"/>
                  <w:w w:val="92"/>
                </w:rPr>
                <w:t>Certification by David P. Williams pursuant to Rule 13a-14(a)/15d-14(a) of</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5460" w:type="dxa"/>
            <w:vAlign w:val="bottom"/>
            <w:gridSpan w:val="20"/>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the Exchange Act of 1934</w:t>
              </w:r>
            </w:hyperlink>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31.3</w:t>
            </w:r>
          </w:p>
        </w:tc>
        <w:tc>
          <w:tcPr>
            <w:tcW w:w="5460" w:type="dxa"/>
            <w:vAlign w:val="bottom"/>
            <w:gridSpan w:val="20"/>
          </w:tcPr>
          <w:p>
            <w:pPr>
              <w:spacing w:after="0"/>
              <w:rPr>
                <w:rFonts w:ascii="Arial" w:cs="Arial" w:eastAsia="Arial" w:hAnsi="Arial"/>
                <w:sz w:val="18"/>
                <w:szCs w:val="18"/>
                <w:color w:val="0000FF"/>
                <w:w w:val="97"/>
              </w:rPr>
            </w:pPr>
            <w:hyperlink w:anchor="page128">
              <w:r>
                <w:rPr>
                  <w:rFonts w:ascii="Arial" w:cs="Arial" w:eastAsia="Arial" w:hAnsi="Arial"/>
                  <w:sz w:val="18"/>
                  <w:szCs w:val="18"/>
                  <w:color w:val="0000FF"/>
                  <w:w w:val="97"/>
                </w:rPr>
                <w:t>Certification by Michael D. Witzeman pursuant to Rule 13a-14(a)/15d-</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51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14(a) of the Exchange Act of 1934</w:t>
              </w:r>
            </w:hyperlink>
          </w:p>
        </w:tc>
        <w:tc>
          <w:tcPr>
            <w:tcW w:w="3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709"/>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5460" w:type="dxa"/>
            <w:vAlign w:val="bottom"/>
            <w:gridSpan w:val="20"/>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Certification by Kevin J. McNamara pursuant to Section 906 of the</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48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Sarbanes Oxley Act of 2002</w:t>
              </w:r>
            </w:hyperlink>
          </w:p>
        </w:tc>
        <w:tc>
          <w:tcPr>
            <w:tcW w:w="140" w:type="dxa"/>
            <w:vAlign w:val="bottom"/>
          </w:tcPr>
          <w:p>
            <w:pPr>
              <w:spacing w:after="0"/>
              <w:rPr>
                <w:sz w:val="14"/>
                <w:szCs w:val="14"/>
                <w:color w:val="auto"/>
              </w:rPr>
            </w:pPr>
          </w:p>
        </w:tc>
        <w:tc>
          <w:tcPr>
            <w:tcW w:w="4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79"/>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5460" w:type="dxa"/>
            <w:vAlign w:val="bottom"/>
            <w:gridSpan w:val="20"/>
          </w:tcPr>
          <w:p>
            <w:pPr>
              <w:spacing w:after="0"/>
              <w:rPr>
                <w:rFonts w:ascii="Arial" w:cs="Arial" w:eastAsia="Arial" w:hAnsi="Arial"/>
                <w:sz w:val="18"/>
                <w:szCs w:val="18"/>
                <w:color w:val="0000FF"/>
                <w:w w:val="92"/>
              </w:rPr>
            </w:pPr>
            <w:hyperlink w:anchor="page130">
              <w:r>
                <w:rPr>
                  <w:rFonts w:ascii="Arial" w:cs="Arial" w:eastAsia="Arial" w:hAnsi="Arial"/>
                  <w:sz w:val="18"/>
                  <w:szCs w:val="18"/>
                  <w:color w:val="0000FF"/>
                  <w:w w:val="92"/>
                </w:rPr>
                <w:t>Certification by David P. Williams pursuant to Section 906 of the Sarbanes</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544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130">
              <w:r>
                <w:rPr>
                  <w:rFonts w:ascii="Arial" w:cs="Arial" w:eastAsia="Arial" w:hAnsi="Arial"/>
                  <w:sz w:val="18"/>
                  <w:szCs w:val="18"/>
                  <w:color w:val="0000FF"/>
                </w:rPr>
                <w:t>Oxley Act of 2002</w:t>
              </w:r>
            </w:hyperlink>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3660" w:type="dxa"/>
            <w:vAlign w:val="bottom"/>
            <w:gridSpan w:val="1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32.3</w:t>
            </w:r>
          </w:p>
        </w:tc>
        <w:tc>
          <w:tcPr>
            <w:tcW w:w="5460" w:type="dxa"/>
            <w:vAlign w:val="bottom"/>
            <w:gridSpan w:val="20"/>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Certification by Michael D. Witzeman pursuant to Section 906 of the</w:t>
              </w:r>
            </w:hyperlink>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50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31">
              <w:r>
                <w:rPr>
                  <w:rFonts w:ascii="Arial" w:cs="Arial" w:eastAsia="Arial" w:hAnsi="Arial"/>
                  <w:sz w:val="18"/>
                  <w:szCs w:val="18"/>
                  <w:color w:val="0000FF"/>
                </w:rPr>
                <w:t>Sarbanes Oxley Act of 2002</w:t>
              </w:r>
            </w:hyperlink>
          </w:p>
        </w:tc>
        <w:tc>
          <w:tcPr>
            <w:tcW w:w="44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520"/>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20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7"/>
              </w:rPr>
              <w:t>XBRL Instance Document</w:t>
            </w:r>
          </w:p>
        </w:tc>
        <w:tc>
          <w:tcPr>
            <w:tcW w:w="3400" w:type="dxa"/>
            <w:vAlign w:val="bottom"/>
            <w:gridSpan w:val="15"/>
          </w:tcPr>
          <w:p>
            <w:pPr>
              <w:spacing w:after="0"/>
              <w:rPr>
                <w:sz w:val="24"/>
                <w:szCs w:val="24"/>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59"/>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gridSpan w:val="20"/>
          </w:tcPr>
          <w:p>
            <w:pPr>
              <w:spacing w:after="0"/>
              <w:rPr>
                <w:sz w:val="20"/>
                <w:szCs w:val="20"/>
                <w:color w:val="auto"/>
              </w:rPr>
            </w:pPr>
            <w:r>
              <w:rPr>
                <w:rFonts w:ascii="Arial" w:cs="Arial" w:eastAsia="Arial" w:hAnsi="Arial"/>
                <w:sz w:val="18"/>
                <w:szCs w:val="18"/>
                <w:color w:val="auto"/>
              </w:rPr>
              <w:t>XBRL Extension Schema</w:t>
            </w:r>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59"/>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w:t>
            </w:r>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59"/>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gridSpan w:val="20"/>
          </w:tcPr>
          <w:p>
            <w:pPr>
              <w:spacing w:after="0"/>
              <w:rPr>
                <w:sz w:val="20"/>
                <w:szCs w:val="20"/>
                <w:color w:val="auto"/>
              </w:rPr>
            </w:pPr>
            <w:r>
              <w:rPr>
                <w:rFonts w:ascii="Arial" w:cs="Arial" w:eastAsia="Arial" w:hAnsi="Arial"/>
                <w:sz w:val="18"/>
                <w:szCs w:val="18"/>
                <w:color w:val="auto"/>
              </w:rPr>
              <w:t>XBRL Taxonomy Definition Linkbase</w:t>
            </w:r>
          </w:p>
        </w:tc>
        <w:tc>
          <w:tcPr>
            <w:tcW w:w="2640" w:type="dxa"/>
            <w:vAlign w:val="bottom"/>
          </w:tcPr>
          <w:p>
            <w:pPr>
              <w:ind w:left="3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19"/>
        </w:trPr>
        <w:tc>
          <w:tcPr>
            <w:tcW w:w="1220" w:type="dxa"/>
            <w:vAlign w:val="bottom"/>
          </w:tcPr>
          <w:p>
            <w:pPr>
              <w:spacing w:after="0"/>
              <w:rPr>
                <w:sz w:val="24"/>
                <w:szCs w:val="24"/>
                <w:color w:val="auto"/>
              </w:rPr>
            </w:pPr>
          </w:p>
        </w:tc>
        <w:tc>
          <w:tcPr>
            <w:tcW w:w="4880" w:type="dxa"/>
            <w:vAlign w:val="bottom"/>
            <w:gridSpan w:val="13"/>
          </w:tcPr>
          <w:p>
            <w:pPr>
              <w:ind w:left="43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8"/>
        </w:trPr>
        <w:tc>
          <w:tcPr>
            <w:tcW w:w="1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0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0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4225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 arrangement.</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 Paper filing</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Review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80" w:type="dxa"/>
            <w:vAlign w:val="bottom"/>
            <w:gridSpan w:val="8"/>
          </w:tcPr>
          <w:p>
            <w:pPr>
              <w:spacing w:after="0"/>
              <w:rPr>
                <w:sz w:val="20"/>
                <w:szCs w:val="20"/>
                <w:color w:val="auto"/>
              </w:rPr>
            </w:pPr>
            <w:r>
              <w:rPr>
                <w:rFonts w:ascii="Arial" w:cs="Arial" w:eastAsia="Arial" w:hAnsi="Arial"/>
                <w:sz w:val="18"/>
                <w:szCs w:val="18"/>
                <w:b w:val="1"/>
                <w:bCs w:val="1"/>
                <w:color w:val="0000FF"/>
              </w:rPr>
              <w:t>Report of Independent Registered Public Accounting Firm PCAOB 238</w:t>
            </w:r>
          </w:p>
        </w:tc>
        <w:tc>
          <w:tcPr>
            <w:tcW w:w="38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Borders>
              <w:top w:val="single" w:sz="8" w:color="0000FF"/>
            </w:tcBorders>
            <w:gridSpan w:val="7"/>
          </w:tcPr>
          <w:p>
            <w:pPr>
              <w:spacing w:after="0" w:line="169" w:lineRule="exact"/>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Consolidated Statements of Income</w:t>
              </w:r>
            </w:hyperlink>
          </w:p>
        </w:tc>
        <w:tc>
          <w:tcPr>
            <w:tcW w:w="1340" w:type="dxa"/>
            <w:vAlign w:val="bottom"/>
          </w:tcPr>
          <w:p>
            <w:pPr>
              <w:spacing w:after="0"/>
              <w:rPr>
                <w:sz w:val="14"/>
                <w:szCs w:val="14"/>
                <w:color w:val="auto"/>
              </w:rPr>
            </w:pPr>
          </w:p>
        </w:tc>
        <w:tc>
          <w:tcPr>
            <w:tcW w:w="38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20" w:type="dxa"/>
            <w:vAlign w:val="bottom"/>
            <w:tcBorders>
              <w:top w:val="single" w:sz="8" w:color="0000FF"/>
            </w:tcBorders>
            <w:gridSpan w:val="2"/>
          </w:tcPr>
          <w:p>
            <w:pPr>
              <w:spacing w:after="0" w:line="169" w:lineRule="exact"/>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Consolidated Balance Sheets</w:t>
              </w:r>
            </w:hyperlink>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0" w:type="dxa"/>
            <w:vAlign w:val="bottom"/>
            <w:gridSpan w:val="2"/>
          </w:tcPr>
          <w:p>
            <w:pPr>
              <w:spacing w:after="0"/>
              <w:rPr>
                <w:sz w:val="14"/>
                <w:szCs w:val="14"/>
                <w:color w:val="auto"/>
              </w:rPr>
            </w:pPr>
          </w:p>
        </w:tc>
        <w:tc>
          <w:tcPr>
            <w:tcW w:w="38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Borders>
              <w:top w:val="single" w:sz="8" w:color="0000FF"/>
            </w:tcBorders>
          </w:tcPr>
          <w:p>
            <w:pPr>
              <w:spacing w:after="0" w:line="169" w:lineRule="exact"/>
              <w:rPr>
                <w:rFonts w:ascii="Arial" w:cs="Arial" w:eastAsia="Arial" w:hAnsi="Arial"/>
                <w:sz w:val="18"/>
                <w:szCs w:val="18"/>
                <w:b w:val="1"/>
                <w:bCs w:val="1"/>
                <w:color w:val="0000FF"/>
                <w:w w:val="91"/>
              </w:rPr>
            </w:pPr>
            <w:hyperlink w:anchor="page46">
              <w:r>
                <w:rPr>
                  <w:rFonts w:ascii="Arial" w:cs="Arial" w:eastAsia="Arial" w:hAnsi="Arial"/>
                  <w:sz w:val="18"/>
                  <w:szCs w:val="18"/>
                  <w:b w:val="1"/>
                  <w:bCs w:val="1"/>
                  <w:color w:val="0000FF"/>
                  <w:w w:val="91"/>
                </w:rPr>
                <w:t>Consolidated Statements of</w:t>
              </w:r>
            </w:hyperlink>
          </w:p>
        </w:tc>
        <w:tc>
          <w:tcPr>
            <w:tcW w:w="4680" w:type="dxa"/>
            <w:vAlign w:val="bottom"/>
            <w:gridSpan w:val="7"/>
          </w:tcPr>
          <w:p>
            <w:pPr>
              <w:spacing w:after="0" w:line="169"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Cash Flows</w:t>
              </w:r>
            </w:hyperlink>
          </w:p>
        </w:tc>
        <w:tc>
          <w:tcPr>
            <w:tcW w:w="38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tcBorders>
              <w:top w:val="single" w:sz="8" w:color="0000FF"/>
            </w:tcBorders>
            <w:gridSpan w:val="3"/>
          </w:tcPr>
          <w:p>
            <w:pPr>
              <w:spacing w:after="0" w:line="169" w:lineRule="exact"/>
              <w:rPr>
                <w:rFonts w:ascii="Arial" w:cs="Arial" w:eastAsia="Arial" w:hAnsi="Arial"/>
                <w:sz w:val="18"/>
                <w:szCs w:val="18"/>
                <w:b w:val="1"/>
                <w:bCs w:val="1"/>
                <w:color w:val="0000FF"/>
                <w:w w:val="88"/>
              </w:rPr>
            </w:pPr>
            <w:hyperlink w:anchor="page47">
              <w:r>
                <w:rPr>
                  <w:rFonts w:ascii="Arial" w:cs="Arial" w:eastAsia="Arial" w:hAnsi="Arial"/>
                  <w:sz w:val="18"/>
                  <w:szCs w:val="18"/>
                  <w:b w:val="1"/>
                  <w:bCs w:val="1"/>
                  <w:color w:val="0000FF"/>
                  <w:w w:val="88"/>
                </w:rPr>
                <w:t>Consolidated Statements of Changes in</w:t>
              </w:r>
            </w:hyperlink>
          </w:p>
        </w:tc>
        <w:tc>
          <w:tcPr>
            <w:tcW w:w="3840" w:type="dxa"/>
            <w:vAlign w:val="bottom"/>
            <w:gridSpan w:val="5"/>
          </w:tcPr>
          <w:p>
            <w:pPr>
              <w:spacing w:after="0" w:line="169" w:lineRule="exact"/>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Stockholders’ Equity</w:t>
              </w:r>
            </w:hyperlink>
          </w:p>
        </w:tc>
        <w:tc>
          <w:tcPr>
            <w:tcW w:w="38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Borders>
              <w:top w:val="single" w:sz="8" w:color="0000FF"/>
            </w:tcBorders>
            <w:gridSpan w:val="6"/>
          </w:tcPr>
          <w:p>
            <w:pPr>
              <w:spacing w:after="0" w:line="169" w:lineRule="exact"/>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Notes to Consolidated Financial Statements</w:t>
              </w:r>
            </w:hyperlink>
          </w:p>
        </w:tc>
        <w:tc>
          <w:tcPr>
            <w:tcW w:w="2200" w:type="dxa"/>
            <w:vAlign w:val="bottom"/>
            <w:gridSpan w:val="2"/>
          </w:tcPr>
          <w:p>
            <w:pPr>
              <w:spacing w:after="0"/>
              <w:rPr>
                <w:sz w:val="14"/>
                <w:szCs w:val="14"/>
                <w:color w:val="auto"/>
              </w:rPr>
            </w:pPr>
          </w:p>
        </w:tc>
        <w:tc>
          <w:tcPr>
            <w:tcW w:w="38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86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880" w:type="dxa"/>
            <w:vAlign w:val="bottom"/>
            <w:gridSpan w:val="8"/>
          </w:tcPr>
          <w:p>
            <w:pPr>
              <w:spacing w:after="0" w:line="169" w:lineRule="exact"/>
              <w:rPr>
                <w:rFonts w:ascii="Arial" w:cs="Arial" w:eastAsia="Arial" w:hAnsi="Arial"/>
                <w:sz w:val="18"/>
                <w:szCs w:val="18"/>
                <w:b w:val="1"/>
                <w:bCs w:val="1"/>
                <w:color w:val="0000FF"/>
              </w:rPr>
            </w:pPr>
            <w:hyperlink w:anchor="page74">
              <w:r>
                <w:rPr>
                  <w:rFonts w:ascii="Arial" w:cs="Arial" w:eastAsia="Arial" w:hAnsi="Arial"/>
                  <w:sz w:val="18"/>
                  <w:szCs w:val="18"/>
                  <w:b w:val="1"/>
                  <w:bCs w:val="1"/>
                  <w:color w:val="0000FF"/>
                </w:rPr>
                <w:t>Unaudited Consolidating Statements of Income</w:t>
              </w:r>
            </w:hyperlink>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gridSpan w:val="6"/>
            <w:shd w:val="clear" w:color="auto" w:fill="0000FF"/>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86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line="20" w:lineRule="exact"/>
              <w:rPr>
                <w:sz w:val="1"/>
                <w:szCs w:val="1"/>
                <w:color w:val="auto"/>
              </w:rPr>
            </w:pPr>
          </w:p>
        </w:tc>
      </w:tr>
      <w:tr>
        <w:trPr>
          <w:trHeight w:val="169"/>
        </w:trPr>
        <w:tc>
          <w:tcPr>
            <w:tcW w:w="6900" w:type="dxa"/>
            <w:vAlign w:val="bottom"/>
            <w:tcBorders>
              <w:bottom w:val="single" w:sz="8" w:color="0000FF"/>
            </w:tcBorders>
            <w:gridSpan w:val="9"/>
          </w:tcPr>
          <w:p>
            <w:pPr>
              <w:spacing w:after="0" w:line="169" w:lineRule="exact"/>
              <w:rPr>
                <w:rFonts w:ascii="Arial" w:cs="Arial" w:eastAsia="Arial" w:hAnsi="Arial"/>
                <w:sz w:val="18"/>
                <w:szCs w:val="18"/>
                <w:b w:val="1"/>
                <w:bCs w:val="1"/>
                <w:color w:val="0000FF"/>
                <w:w w:val="88"/>
              </w:rPr>
            </w:pPr>
            <w:hyperlink w:anchor="page77">
              <w:r>
                <w:rPr>
                  <w:rFonts w:ascii="Arial" w:cs="Arial" w:eastAsia="Arial" w:hAnsi="Arial"/>
                  <w:sz w:val="18"/>
                  <w:szCs w:val="18"/>
                  <w:b w:val="1"/>
                  <w:bCs w:val="1"/>
                  <w:color w:val="0000FF"/>
                  <w:w w:val="88"/>
                </w:rPr>
                <w:t>Management’s Discussion and Analysis of Financial Conditions and Results of Operations</w:t>
              </w:r>
            </w:hyperlink>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that term is defined in Exchange Act Rules 13a-15(f) and 15d-15(f).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 xml:space="preserve">The Company’s management, including the President and Chief Executive Officer, Executive Vice President and Chief Financial Officer and Vice President and Controller, has conducted an evaluation of the effectiveness of its internal control over financial reporting as of December 31, 2021, based on the framework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(“COSO”). Based on this evaluation, management concluded that internal control over financial reporting was effective as of December 31, 2021, based on criteria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4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PricewaterhouseCoopers LLP, our independent registered public accounting firm, has audited the effectiveness of the Company’s internal control over financial reporting as of December 31, 2021, as stated in their report which appears on pages 40 through 41.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Chemed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We have audited the accompanying consolidated balance sheets of Chemed Corporation and its subsidiaries (the “Company”) as of December 31, 2021 and 2020, and the related consolidated statements of income, of changes in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35"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5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VITAS Revenue Implicit Price Concessions</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 described in Note 2 to the consolidated financial statements, service revenue for VITAS is reported at the amount that reflects the ultimate consideration management expects to receive in exchange for providing patient care. These amounts are due from third-party payors, primarily commercial health insurers and government programs (Medicare and Medicaid). Management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Settlement with third-party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the Company’s historical settlement activity. The impact of these estimates is disclosed as implicit price concessions and totaled $11.5 million for the year-ended December 31, 2021.</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principal considerations for our determination that performing procedures relating to VITAS revenue implicit price concessions is a critical audit matter are the significant judgment by management when developing the estimate of implicit price concessions used in determining the transaction price for each third-party payor. This in turn led to significant auditor judgment, subjectivity, and effort in performing procedures to evaluate the ultimate consideration management expects to receive, related to estimates of implicit price concessions including retroactive adjustments due to audits, reviews or investigations, the assessment of management’s evaluation of correspondence from the payor and the Company’s historical settlement activity.</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VITAS revenue implicit price concessions estimate. These procedures also included, among others, (i) developing an independent estimate of the implicit price concessions by utilizing historical settlement activity; (ii) comparing the independent estimate to management’s estimate; and (iii) evaluating and testing management’s process for developing the estimate related to retroactive adjustments due to audits, reviews or investigations, which included evaluating the reasonableness of the estimate based on existing correspondence from the payor and the Company’s historical settlement activity. Evaluating the reasonableness of the implicit price concessions estimate involved inspecting evidence of correspondence from payors, testing the completeness and accuracy of historical settlement activity on a sample basis, and performing a retrospective review of consideration received subsequent to prior and current year-end to evaluate the reasonableness of the prior and current period estimated implicit price concessions applied by management.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Cincinnati, Ohio</w:t>
      </w:r>
    </w:p>
    <w:p>
      <w:pPr>
        <w:spacing w:after="0"/>
        <w:rPr>
          <w:sz w:val="20"/>
          <w:szCs w:val="20"/>
          <w:color w:val="auto"/>
        </w:rPr>
      </w:pPr>
      <w:r>
        <w:rPr>
          <w:rFonts w:ascii="Arial" w:cs="Arial" w:eastAsia="Arial" w:hAnsi="Arial"/>
          <w:sz w:val="18"/>
          <w:szCs w:val="18"/>
          <w:color w:val="auto"/>
        </w:rPr>
        <w:t>February 28,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Years Ended December 31,</w:t>
            </w:r>
          </w:p>
        </w:tc>
        <w:tc>
          <w:tcPr>
            <w:tcW w:w="7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547"/>
        </w:trPr>
        <w:tc>
          <w:tcPr>
            <w:tcW w:w="5460" w:type="dxa"/>
            <w:vAlign w:val="bottom"/>
          </w:tcPr>
          <w:p>
            <w:pPr>
              <w:spacing w:after="0"/>
              <w:rPr>
                <w:sz w:val="20"/>
                <w:szCs w:val="20"/>
                <w:color w:val="auto"/>
              </w:rPr>
            </w:pPr>
            <w:r>
              <w:rPr>
                <w:rFonts w:ascii="Arial" w:cs="Arial" w:eastAsia="Arial" w:hAnsi="Arial"/>
                <w:sz w:val="18"/>
                <w:szCs w:val="18"/>
                <w:color w:val="auto"/>
              </w:rPr>
              <w:t>Service revenues and sales (Note 2)</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2,139,261</w:t>
            </w:r>
          </w:p>
        </w:tc>
        <w:tc>
          <w:tcPr>
            <w:tcW w:w="120" w:type="dxa"/>
            <w:vAlign w:val="bottom"/>
          </w:tcPr>
          <w:p>
            <w:pPr>
              <w:spacing w:after="0"/>
              <w:rPr>
                <w:sz w:val="24"/>
                <w:szCs w:val="24"/>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2,079,583</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1,938,555</w:t>
            </w:r>
          </w:p>
        </w:tc>
        <w:tc>
          <w:tcPr>
            <w:tcW w:w="0" w:type="dxa"/>
            <w:vAlign w:val="bottom"/>
          </w:tcPr>
          <w:p>
            <w:pPr>
              <w:spacing w:after="0"/>
              <w:rPr>
                <w:sz w:val="1"/>
                <w:szCs w:val="1"/>
                <w:color w:val="auto"/>
              </w:rPr>
            </w:pPr>
          </w:p>
        </w:tc>
      </w:tr>
      <w:tr>
        <w:trPr>
          <w:trHeight w:val="277"/>
        </w:trPr>
        <w:tc>
          <w:tcPr>
            <w:tcW w:w="5460" w:type="dxa"/>
            <w:vAlign w:val="bottom"/>
          </w:tcPr>
          <w:p>
            <w:pPr>
              <w:spacing w:after="0"/>
              <w:rPr>
                <w:sz w:val="20"/>
                <w:szCs w:val="20"/>
                <w:color w:val="auto"/>
              </w:rPr>
            </w:pPr>
            <w:r>
              <w:rPr>
                <w:rFonts w:ascii="Arial" w:cs="Arial" w:eastAsia="Arial" w:hAnsi="Arial"/>
                <w:sz w:val="18"/>
                <w:szCs w:val="18"/>
                <w:color w:val="auto"/>
              </w:rPr>
              <w:t>Cost of services provided and goods sold (excluding depreciation)</w:t>
            </w:r>
          </w:p>
        </w:tc>
        <w:tc>
          <w:tcPr>
            <w:tcW w:w="7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1,369,458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1,378,197</w:t>
            </w: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1,321,126</w:t>
            </w:r>
          </w:p>
        </w:tc>
        <w:tc>
          <w:tcPr>
            <w:tcW w:w="0" w:type="dxa"/>
            <w:vAlign w:val="bottom"/>
          </w:tcPr>
          <w:p>
            <w:pPr>
              <w:spacing w:after="0"/>
              <w:rPr>
                <w:sz w:val="1"/>
                <w:szCs w:val="1"/>
                <w:color w:val="auto"/>
              </w:rPr>
            </w:pPr>
          </w:p>
        </w:tc>
      </w:tr>
      <w:tr>
        <w:trPr>
          <w:trHeight w:val="283"/>
        </w:trPr>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366,727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330,218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305,712</w:t>
            </w:r>
          </w:p>
        </w:tc>
        <w:tc>
          <w:tcPr>
            <w:tcW w:w="0" w:type="dxa"/>
            <w:vAlign w:val="bottom"/>
          </w:tcPr>
          <w:p>
            <w:pPr>
              <w:spacing w:after="0"/>
              <w:rPr>
                <w:sz w:val="1"/>
                <w:szCs w:val="1"/>
                <w:color w:val="auto"/>
              </w:rPr>
            </w:pPr>
          </w:p>
        </w:tc>
      </w:tr>
      <w:tr>
        <w:trPr>
          <w:trHeight w:val="284"/>
        </w:trPr>
        <w:tc>
          <w:tcPr>
            <w:tcW w:w="5460" w:type="dxa"/>
            <w:vAlign w:val="bottom"/>
          </w:tcPr>
          <w:p>
            <w:pPr>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49,011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46,596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40,870</w:t>
            </w:r>
          </w:p>
        </w:tc>
        <w:tc>
          <w:tcPr>
            <w:tcW w:w="0" w:type="dxa"/>
            <w:vAlign w:val="bottom"/>
          </w:tcPr>
          <w:p>
            <w:pPr>
              <w:spacing w:after="0"/>
              <w:rPr>
                <w:sz w:val="1"/>
                <w:szCs w:val="1"/>
                <w:color w:val="auto"/>
              </w:rPr>
            </w:pPr>
          </w:p>
        </w:tc>
      </w:tr>
      <w:tr>
        <w:trPr>
          <w:trHeight w:val="283"/>
        </w:trPr>
        <w:tc>
          <w:tcPr>
            <w:tcW w:w="5460" w:type="dxa"/>
            <w:vAlign w:val="bottom"/>
          </w:tcPr>
          <w:p>
            <w:pPr>
              <w:spacing w:after="0"/>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operating (income)/expenses (Note 19)</w:t>
            </w: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(75,095)</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63"/>
        </w:trPr>
        <w:tc>
          <w:tcPr>
            <w:tcW w:w="5460" w:type="dxa"/>
            <w:vAlign w:val="bottom"/>
          </w:tcPr>
          <w:p>
            <w:pPr>
              <w:ind w:left="220"/>
              <w:spacing w:after="0"/>
              <w:rPr>
                <w:sz w:val="20"/>
                <w:szCs w:val="20"/>
                <w:color w:val="auto"/>
              </w:rPr>
            </w:pPr>
            <w:r>
              <w:rPr>
                <w:rFonts w:ascii="Arial" w:cs="Arial" w:eastAsia="Arial" w:hAnsi="Arial"/>
                <w:sz w:val="18"/>
                <w:szCs w:val="18"/>
                <w:color w:val="auto"/>
              </w:rPr>
              <w:t>Total costs and expenses</w:t>
            </w:r>
          </w:p>
        </w:tc>
        <w:tc>
          <w:tcPr>
            <w:tcW w:w="7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1,796,223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1,689,903</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1,681,175</w:t>
            </w:r>
          </w:p>
        </w:tc>
        <w:tc>
          <w:tcPr>
            <w:tcW w:w="0" w:type="dxa"/>
            <w:vAlign w:val="bottom"/>
          </w:tcPr>
          <w:p>
            <w:pPr>
              <w:spacing w:after="0"/>
              <w:rPr>
                <w:sz w:val="1"/>
                <w:szCs w:val="1"/>
                <w:color w:val="auto"/>
              </w:rPr>
            </w:pPr>
          </w:p>
        </w:tc>
      </w:tr>
      <w:tr>
        <w:trPr>
          <w:trHeight w:val="277"/>
        </w:trPr>
        <w:tc>
          <w:tcPr>
            <w:tcW w:w="546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343,038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389,680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257,380</w:t>
            </w:r>
          </w:p>
        </w:tc>
        <w:tc>
          <w:tcPr>
            <w:tcW w:w="0" w:type="dxa"/>
            <w:vAlign w:val="bottom"/>
          </w:tcPr>
          <w:p>
            <w:pPr>
              <w:spacing w:after="0"/>
              <w:rPr>
                <w:sz w:val="1"/>
                <w:szCs w:val="1"/>
                <w:color w:val="auto"/>
              </w:rPr>
            </w:pPr>
          </w:p>
        </w:tc>
      </w:tr>
      <w:tr>
        <w:trPr>
          <w:trHeight w:val="283"/>
        </w:trPr>
        <w:tc>
          <w:tcPr>
            <w:tcW w:w="546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(1,868)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income--net (Note 10)</w:t>
            </w:r>
          </w:p>
        </w:tc>
        <w:tc>
          <w:tcPr>
            <w:tcW w:w="7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77"/>
        </w:trPr>
        <w:tc>
          <w:tcPr>
            <w:tcW w:w="546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350,314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395,990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261,609</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Income taxes (Note 11)</w:t>
            </w: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(81,764)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(76,524)</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(41,686)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268,550</w:t>
            </w:r>
          </w:p>
        </w:tc>
        <w:tc>
          <w:tcPr>
            <w:tcW w:w="120" w:type="dxa"/>
            <w:vAlign w:val="bottom"/>
          </w:tcPr>
          <w:p>
            <w:pPr>
              <w:spacing w:after="0"/>
              <w:rPr>
                <w:sz w:val="21"/>
                <w:szCs w:val="2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319,466</w:t>
            </w:r>
          </w:p>
        </w:tc>
        <w:tc>
          <w:tcPr>
            <w:tcW w:w="2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219,923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 (Note 15)</w:t>
            </w: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17.14</w:t>
            </w:r>
          </w:p>
        </w:tc>
        <w:tc>
          <w:tcPr>
            <w:tcW w:w="120" w:type="dxa"/>
            <w:vAlign w:val="bottom"/>
          </w:tcPr>
          <w:p>
            <w:pPr>
              <w:spacing w:after="0"/>
              <w:rPr>
                <w:sz w:val="22"/>
                <w:szCs w:val="22"/>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tcPr>
          <w:p>
            <w:pPr>
              <w:ind w:left="220"/>
              <w:spacing w:after="0"/>
              <w:rPr>
                <w:sz w:val="20"/>
                <w:szCs w:val="20"/>
                <w:color w:val="auto"/>
              </w:rPr>
            </w:pPr>
            <w:r>
              <w:rPr>
                <w:rFonts w:ascii="Arial" w:cs="Arial" w:eastAsia="Arial" w:hAnsi="Arial"/>
                <w:sz w:val="18"/>
                <w:szCs w:val="18"/>
                <w:color w:val="auto"/>
              </w:rPr>
              <w:t>Average number of shares outstanding</w:t>
            </w:r>
          </w:p>
        </w:tc>
        <w:tc>
          <w:tcPr>
            <w:tcW w:w="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15,955</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(Note 15)</w:t>
            </w: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16.85</w:t>
            </w:r>
          </w:p>
        </w:tc>
        <w:tc>
          <w:tcPr>
            <w:tcW w:w="120" w:type="dxa"/>
            <w:vAlign w:val="bottom"/>
          </w:tcPr>
          <w:p>
            <w:pPr>
              <w:spacing w:after="0"/>
              <w:rPr>
                <w:sz w:val="22"/>
                <w:szCs w:val="22"/>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tcPr>
          <w:p>
            <w:pPr>
              <w:ind w:left="220"/>
              <w:spacing w:after="0"/>
              <w:rPr>
                <w:sz w:val="20"/>
                <w:szCs w:val="20"/>
                <w:color w:val="auto"/>
              </w:rPr>
            </w:pPr>
            <w:r>
              <w:rPr>
                <w:rFonts w:ascii="Arial" w:cs="Arial" w:eastAsia="Arial" w:hAnsi="Arial"/>
                <w:sz w:val="18"/>
                <w:szCs w:val="18"/>
                <w:color w:val="auto"/>
              </w:rPr>
              <w:t>Average number of shares outstanding</w:t>
            </w:r>
          </w:p>
        </w:tc>
        <w:tc>
          <w:tcPr>
            <w:tcW w:w="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integral parts of these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shares and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December 31,</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31"/>
        </w:trPr>
        <w:tc>
          <w:tcPr>
            <w:tcW w:w="81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420"/>
              <w:spacing w:after="0"/>
              <w:rPr>
                <w:sz w:val="20"/>
                <w:szCs w:val="20"/>
                <w:color w:val="auto"/>
              </w:rPr>
            </w:pPr>
            <w:r>
              <w:rPr>
                <w:rFonts w:ascii="Arial" w:cs="Arial" w:eastAsia="Arial" w:hAnsi="Arial"/>
                <w:sz w:val="16"/>
                <w:szCs w:val="16"/>
                <w:color w:val="auto"/>
              </w:rPr>
              <w:t>Cash and cash equivalents (Note 9)</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32,895</w:t>
            </w:r>
          </w:p>
        </w:tc>
        <w:tc>
          <w:tcPr>
            <w:tcW w:w="18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162,675</w:t>
            </w:r>
          </w:p>
        </w:tc>
        <w:tc>
          <w:tcPr>
            <w:tcW w:w="0" w:type="dxa"/>
            <w:vAlign w:val="bottom"/>
          </w:tcPr>
          <w:p>
            <w:pPr>
              <w:spacing w:after="0"/>
              <w:rPr>
                <w:sz w:val="1"/>
                <w:szCs w:val="1"/>
                <w:color w:val="auto"/>
              </w:rPr>
            </w:pPr>
          </w:p>
        </w:tc>
      </w:tr>
      <w:tr>
        <w:trPr>
          <w:trHeight w:val="229"/>
        </w:trPr>
        <w:tc>
          <w:tcPr>
            <w:tcW w:w="818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137,217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126,853</w:t>
            </w:r>
          </w:p>
        </w:tc>
        <w:tc>
          <w:tcPr>
            <w:tcW w:w="0" w:type="dxa"/>
            <w:vAlign w:val="bottom"/>
          </w:tcPr>
          <w:p>
            <w:pPr>
              <w:spacing w:after="0"/>
              <w:rPr>
                <w:sz w:val="1"/>
                <w:szCs w:val="1"/>
                <w:color w:val="auto"/>
              </w:rPr>
            </w:pPr>
          </w:p>
        </w:tc>
      </w:tr>
      <w:tr>
        <w:trPr>
          <w:trHeight w:val="229"/>
        </w:trPr>
        <w:tc>
          <w:tcPr>
            <w:tcW w:w="8180" w:type="dxa"/>
            <w:vAlign w:val="bottom"/>
          </w:tcPr>
          <w:p>
            <w:pPr>
              <w:ind w:left="42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10,109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7,095</w:t>
            </w:r>
          </w:p>
        </w:tc>
        <w:tc>
          <w:tcPr>
            <w:tcW w:w="0" w:type="dxa"/>
            <w:vAlign w:val="bottom"/>
          </w:tcPr>
          <w:p>
            <w:pPr>
              <w:spacing w:after="0"/>
              <w:rPr>
                <w:sz w:val="1"/>
                <w:szCs w:val="1"/>
                <w:color w:val="auto"/>
              </w:rPr>
            </w:pPr>
          </w:p>
        </w:tc>
      </w:tr>
      <w:tr>
        <w:trPr>
          <w:trHeight w:val="230"/>
        </w:trPr>
        <w:tc>
          <w:tcPr>
            <w:tcW w:w="8180" w:type="dxa"/>
            <w:vAlign w:val="bottom"/>
          </w:tcPr>
          <w:p>
            <w:pPr>
              <w:ind w:left="420"/>
              <w:spacing w:after="0"/>
              <w:rPr>
                <w:sz w:val="20"/>
                <w:szCs w:val="20"/>
                <w:color w:val="auto"/>
              </w:rPr>
            </w:pPr>
            <w:r>
              <w:rPr>
                <w:rFonts w:ascii="Arial" w:cs="Arial" w:eastAsia="Arial" w:hAnsi="Arial"/>
                <w:sz w:val="16"/>
                <w:szCs w:val="16"/>
                <w:color w:val="auto"/>
              </w:rPr>
              <w:t>Prepaid income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17,377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6,603</w:t>
            </w:r>
          </w:p>
        </w:tc>
        <w:tc>
          <w:tcPr>
            <w:tcW w:w="0" w:type="dxa"/>
            <w:vAlign w:val="bottom"/>
          </w:tcPr>
          <w:p>
            <w:pPr>
              <w:spacing w:after="0"/>
              <w:rPr>
                <w:sz w:val="1"/>
                <w:szCs w:val="1"/>
                <w:color w:val="auto"/>
              </w:rPr>
            </w:pPr>
          </w:p>
        </w:tc>
      </w:tr>
      <w:tr>
        <w:trPr>
          <w:trHeight w:val="208"/>
        </w:trPr>
        <w:tc>
          <w:tcPr>
            <w:tcW w:w="8180" w:type="dxa"/>
            <w:vAlign w:val="bottom"/>
          </w:tcPr>
          <w:p>
            <w:pPr>
              <w:ind w:left="420"/>
              <w:spacing w:after="0"/>
              <w:rPr>
                <w:sz w:val="20"/>
                <w:szCs w:val="20"/>
                <w:color w:val="auto"/>
              </w:rPr>
            </w:pPr>
            <w:r>
              <w:rPr>
                <w:rFonts w:ascii="Arial" w:cs="Arial" w:eastAsia="Arial" w:hAnsi="Arial"/>
                <w:sz w:val="16"/>
                <w:szCs w:val="16"/>
                <w:color w:val="auto"/>
              </w:rPr>
              <w:t>Prepaid expenses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32,688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26,177</w:t>
            </w:r>
          </w:p>
        </w:tc>
        <w:tc>
          <w:tcPr>
            <w:tcW w:w="0" w:type="dxa"/>
            <w:vAlign w:val="bottom"/>
          </w:tcPr>
          <w:p>
            <w:pPr>
              <w:spacing w:after="0"/>
              <w:rPr>
                <w:sz w:val="1"/>
                <w:szCs w:val="1"/>
                <w:color w:val="auto"/>
              </w:rPr>
            </w:pPr>
          </w:p>
        </w:tc>
      </w:tr>
      <w:tr>
        <w:trPr>
          <w:trHeight w:val="231"/>
        </w:trPr>
        <w:tc>
          <w:tcPr>
            <w:tcW w:w="818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230,286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329,403</w:t>
            </w: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6"/>
                <w:szCs w:val="16"/>
                <w:color w:val="auto"/>
              </w:rPr>
              <w:t>Investments of deferred compensation plans held in trust (Notes 14 and 16)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98,884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88,811</w:t>
            </w: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6"/>
                <w:szCs w:val="16"/>
                <w:color w:val="auto"/>
              </w:rPr>
              <w:t>Properties and equipment, at cost, less accumulated depreciation (Note 12)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193,680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187,820</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Lease right of use asset (Note 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125,048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123,448</w:t>
            </w: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6"/>
                <w:szCs w:val="16"/>
                <w:color w:val="auto"/>
              </w:rPr>
              <w:t>Identifiable intangible assets less accumulated amortization (Note 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108,096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118,085</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578,591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578,585</w:t>
            </w:r>
          </w:p>
        </w:tc>
        <w:tc>
          <w:tcPr>
            <w:tcW w:w="0" w:type="dxa"/>
            <w:vAlign w:val="bottom"/>
          </w:tcPr>
          <w:p>
            <w:pPr>
              <w:spacing w:after="0"/>
              <w:rPr>
                <w:sz w:val="1"/>
                <w:szCs w:val="1"/>
                <w:color w:val="auto"/>
              </w:rPr>
            </w:pPr>
          </w:p>
        </w:tc>
      </w:tr>
      <w:tr>
        <w:trPr>
          <w:trHeight w:val="208"/>
        </w:trPr>
        <w:tc>
          <w:tcPr>
            <w:tcW w:w="81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8,138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8,759</w:t>
            </w:r>
          </w:p>
        </w:tc>
        <w:tc>
          <w:tcPr>
            <w:tcW w:w="0" w:type="dxa"/>
            <w:vAlign w:val="bottom"/>
          </w:tcPr>
          <w:p>
            <w:pPr>
              <w:spacing w:after="0"/>
              <w:rPr>
                <w:sz w:val="1"/>
                <w:szCs w:val="1"/>
                <w:color w:val="auto"/>
              </w:rPr>
            </w:pPr>
          </w:p>
        </w:tc>
      </w:tr>
      <w:tr>
        <w:trPr>
          <w:trHeight w:val="196"/>
        </w:trPr>
        <w:tc>
          <w:tcPr>
            <w:tcW w:w="818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1,342,723</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1,434,911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73,024</w:t>
            </w:r>
          </w:p>
        </w:tc>
        <w:tc>
          <w:tcPr>
            <w:tcW w:w="18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54,234</w:t>
            </w:r>
          </w:p>
        </w:tc>
        <w:tc>
          <w:tcPr>
            <w:tcW w:w="0" w:type="dxa"/>
            <w:vAlign w:val="bottom"/>
          </w:tcPr>
          <w:p>
            <w:pPr>
              <w:spacing w:after="0"/>
              <w:rPr>
                <w:sz w:val="1"/>
                <w:szCs w:val="1"/>
                <w:color w:val="auto"/>
              </w:rPr>
            </w:pPr>
          </w:p>
        </w:tc>
      </w:tr>
      <w:tr>
        <w:trPr>
          <w:trHeight w:val="229"/>
        </w:trPr>
        <w:tc>
          <w:tcPr>
            <w:tcW w:w="818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9,464</w:t>
            </w:r>
          </w:p>
        </w:tc>
        <w:tc>
          <w:tcPr>
            <w:tcW w:w="0" w:type="dxa"/>
            <w:vAlign w:val="bottom"/>
          </w:tcPr>
          <w:p>
            <w:pPr>
              <w:spacing w:after="0"/>
              <w:rPr>
                <w:sz w:val="1"/>
                <w:szCs w:val="1"/>
                <w:color w:val="auto"/>
              </w:rPr>
            </w:pPr>
          </w:p>
        </w:tc>
      </w:tr>
      <w:tr>
        <w:trPr>
          <w:trHeight w:val="230"/>
        </w:trPr>
        <w:tc>
          <w:tcPr>
            <w:tcW w:w="8180" w:type="dxa"/>
            <w:vAlign w:val="bottom"/>
          </w:tcPr>
          <w:p>
            <w:pPr>
              <w:ind w:left="420"/>
              <w:spacing w:after="0"/>
              <w:rPr>
                <w:sz w:val="20"/>
                <w:szCs w:val="20"/>
                <w:color w:val="auto"/>
              </w:rPr>
            </w:pPr>
            <w:r>
              <w:rPr>
                <w:rFonts w:ascii="Arial" w:cs="Arial" w:eastAsia="Arial" w:hAnsi="Arial"/>
                <w:sz w:val="16"/>
                <w:szCs w:val="16"/>
                <w:color w:val="auto"/>
              </w:rPr>
              <w:t>Accrued insurance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55,918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54,703</w:t>
            </w:r>
          </w:p>
        </w:tc>
        <w:tc>
          <w:tcPr>
            <w:tcW w:w="0" w:type="dxa"/>
            <w:vAlign w:val="bottom"/>
          </w:tcPr>
          <w:p>
            <w:pPr>
              <w:spacing w:after="0"/>
              <w:rPr>
                <w:sz w:val="1"/>
                <w:szCs w:val="1"/>
                <w:color w:val="auto"/>
              </w:rPr>
            </w:pPr>
          </w:p>
        </w:tc>
      </w:tr>
      <w:tr>
        <w:trPr>
          <w:trHeight w:val="229"/>
        </w:trPr>
        <w:tc>
          <w:tcPr>
            <w:tcW w:w="8180" w:type="dxa"/>
            <w:vAlign w:val="bottom"/>
          </w:tcPr>
          <w:p>
            <w:pPr>
              <w:ind w:left="420"/>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95,598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91,282</w:t>
            </w:r>
          </w:p>
        </w:tc>
        <w:tc>
          <w:tcPr>
            <w:tcW w:w="0" w:type="dxa"/>
            <w:vAlign w:val="bottom"/>
          </w:tcPr>
          <w:p>
            <w:pPr>
              <w:spacing w:after="0"/>
              <w:rPr>
                <w:sz w:val="1"/>
                <w:szCs w:val="1"/>
                <w:color w:val="auto"/>
              </w:rPr>
            </w:pPr>
          </w:p>
        </w:tc>
      </w:tr>
      <w:tr>
        <w:trPr>
          <w:trHeight w:val="230"/>
        </w:trPr>
        <w:tc>
          <w:tcPr>
            <w:tcW w:w="8180" w:type="dxa"/>
            <w:vAlign w:val="bottom"/>
          </w:tcPr>
          <w:p>
            <w:pPr>
              <w:ind w:left="420"/>
              <w:spacing w:after="0"/>
              <w:rPr>
                <w:sz w:val="20"/>
                <w:szCs w:val="20"/>
                <w:color w:val="auto"/>
              </w:rPr>
            </w:pPr>
            <w:r>
              <w:rPr>
                <w:rFonts w:ascii="Arial" w:cs="Arial" w:eastAsia="Arial" w:hAnsi="Arial"/>
                <w:sz w:val="16"/>
                <w:szCs w:val="16"/>
                <w:color w:val="auto"/>
              </w:rPr>
              <w:t>Accrued legal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872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10,632</w:t>
            </w:r>
          </w:p>
        </w:tc>
        <w:tc>
          <w:tcPr>
            <w:tcW w:w="0" w:type="dxa"/>
            <w:vAlign w:val="bottom"/>
          </w:tcPr>
          <w:p>
            <w:pPr>
              <w:spacing w:after="0"/>
              <w:rPr>
                <w:sz w:val="1"/>
                <w:szCs w:val="1"/>
                <w:color w:val="auto"/>
              </w:rPr>
            </w:pPr>
          </w:p>
        </w:tc>
      </w:tr>
      <w:tr>
        <w:trPr>
          <w:trHeight w:val="229"/>
        </w:trPr>
        <w:tc>
          <w:tcPr>
            <w:tcW w:w="8180" w:type="dxa"/>
            <w:vAlign w:val="bottom"/>
          </w:tcPr>
          <w:p>
            <w:pPr>
              <w:ind w:left="420"/>
              <w:spacing w:after="0"/>
              <w:rPr>
                <w:sz w:val="20"/>
                <w:szCs w:val="20"/>
                <w:color w:val="auto"/>
              </w:rPr>
            </w:pPr>
            <w:r>
              <w:rPr>
                <w:rFonts w:ascii="Arial" w:cs="Arial" w:eastAsia="Arial" w:hAnsi="Arial"/>
                <w:sz w:val="16"/>
                <w:szCs w:val="16"/>
                <w:color w:val="auto"/>
              </w:rPr>
              <w:t>Short-term lease liability (Note 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37,913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36,200</w:t>
            </w:r>
          </w:p>
        </w:tc>
        <w:tc>
          <w:tcPr>
            <w:tcW w:w="0" w:type="dxa"/>
            <w:vAlign w:val="bottom"/>
          </w:tcPr>
          <w:p>
            <w:pPr>
              <w:spacing w:after="0"/>
              <w:rPr>
                <w:sz w:val="1"/>
                <w:szCs w:val="1"/>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39,033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42,593</w:t>
            </w:r>
          </w:p>
        </w:tc>
        <w:tc>
          <w:tcPr>
            <w:tcW w:w="0" w:type="dxa"/>
            <w:vAlign w:val="bottom"/>
          </w:tcPr>
          <w:p>
            <w:pPr>
              <w:spacing w:after="0"/>
              <w:rPr>
                <w:sz w:val="1"/>
                <w:szCs w:val="1"/>
                <w:color w:val="auto"/>
              </w:rPr>
            </w:pPr>
          </w:p>
        </w:tc>
      </w:tr>
      <w:tr>
        <w:trPr>
          <w:trHeight w:val="230"/>
        </w:trPr>
        <w:tc>
          <w:tcPr>
            <w:tcW w:w="818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302,399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299,108</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Deferred income taxes (Note 11)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23,183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20,664</w:t>
            </w: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6"/>
                <w:szCs w:val="16"/>
                <w:color w:val="auto"/>
              </w:rPr>
              <w:t>Long-term debt (Note 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185,000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Deferred compensation liabilities (Note 14)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98,597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88,456</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Long-term lease liability (Note 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100,629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99,210</w:t>
            </w:r>
          </w:p>
        </w:tc>
        <w:tc>
          <w:tcPr>
            <w:tcW w:w="0" w:type="dxa"/>
            <w:vAlign w:val="bottom"/>
          </w:tcPr>
          <w:p>
            <w:pPr>
              <w:spacing w:after="0"/>
              <w:rPr>
                <w:sz w:val="1"/>
                <w:szCs w:val="1"/>
                <w:color w:val="auto"/>
              </w:rPr>
            </w:pPr>
          </w:p>
        </w:tc>
      </w:tr>
      <w:tr>
        <w:trPr>
          <w:trHeight w:val="208"/>
        </w:trPr>
        <w:tc>
          <w:tcPr>
            <w:tcW w:w="818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26,273</w:t>
            </w:r>
          </w:p>
        </w:tc>
        <w:tc>
          <w:tcPr>
            <w:tcW w:w="0" w:type="dxa"/>
            <w:vAlign w:val="bottom"/>
          </w:tcPr>
          <w:p>
            <w:pPr>
              <w:spacing w:after="0"/>
              <w:rPr>
                <w:sz w:val="1"/>
                <w:szCs w:val="1"/>
                <w:color w:val="auto"/>
              </w:rPr>
            </w:pPr>
          </w:p>
        </w:tc>
      </w:tr>
      <w:tr>
        <w:trPr>
          <w:trHeight w:val="210"/>
        </w:trPr>
        <w:tc>
          <w:tcPr>
            <w:tcW w:w="818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719,450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533,711</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b w:val="1"/>
                <w:bCs w:val="1"/>
                <w:color w:val="auto"/>
              </w:rPr>
              <w:t>Commitments and contingencies (Note 17)</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Capital stock - authorized 80,000,000 shares $1 par; issued 36,513,857shares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420"/>
              <w:spacing w:after="0"/>
              <w:rPr>
                <w:sz w:val="20"/>
                <w:szCs w:val="20"/>
                <w:color w:val="auto"/>
              </w:rPr>
            </w:pPr>
            <w:r>
              <w:rPr>
                <w:rFonts w:ascii="Arial" w:cs="Arial" w:eastAsia="Arial" w:hAnsi="Arial"/>
                <w:sz w:val="16"/>
                <w:szCs w:val="16"/>
                <w:color w:val="auto"/>
              </w:rPr>
              <w:t>(2020 - 36,258,638 shares)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36,514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36,259</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Paid-in capital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1,044,341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961,404</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1,970,311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1,723,777</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6"/>
                <w:szCs w:val="16"/>
                <w:color w:val="auto"/>
              </w:rPr>
              <w:t>Treasury stock - 21,601,325 shares (2020 - 20,351,562 shares), at cost</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(2,430,094)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(1,822,579)</w:t>
            </w:r>
          </w:p>
        </w:tc>
        <w:tc>
          <w:tcPr>
            <w:tcW w:w="0" w:type="dxa"/>
            <w:vAlign w:val="bottom"/>
          </w:tcPr>
          <w:p>
            <w:pPr>
              <w:spacing w:after="0"/>
              <w:rPr>
                <w:sz w:val="1"/>
                <w:szCs w:val="1"/>
                <w:color w:val="auto"/>
              </w:rPr>
            </w:pPr>
          </w:p>
        </w:tc>
      </w:tr>
      <w:tr>
        <w:trPr>
          <w:trHeight w:val="208"/>
        </w:trPr>
        <w:tc>
          <w:tcPr>
            <w:tcW w:w="8180" w:type="dxa"/>
            <w:vAlign w:val="bottom"/>
          </w:tcPr>
          <w:p>
            <w:pPr>
              <w:ind w:left="220"/>
              <w:spacing w:after="0"/>
              <w:rPr>
                <w:sz w:val="20"/>
                <w:szCs w:val="20"/>
                <w:color w:val="auto"/>
              </w:rPr>
            </w:pPr>
            <w:r>
              <w:rPr>
                <w:rFonts w:ascii="Arial" w:cs="Arial" w:eastAsia="Arial" w:hAnsi="Arial"/>
                <w:sz w:val="16"/>
                <w:szCs w:val="16"/>
                <w:color w:val="auto"/>
              </w:rPr>
              <w:t>Deferred compensation payable in Company stock (Note 14)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210"/>
        </w:trPr>
        <w:tc>
          <w:tcPr>
            <w:tcW w:w="8180" w:type="dxa"/>
            <w:vAlign w:val="bottom"/>
          </w:tcPr>
          <w:p>
            <w:pPr>
              <w:ind w:left="56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623,273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901,200</w:t>
            </w:r>
          </w:p>
        </w:tc>
        <w:tc>
          <w:tcPr>
            <w:tcW w:w="0" w:type="dxa"/>
            <w:vAlign w:val="bottom"/>
          </w:tcPr>
          <w:p>
            <w:pPr>
              <w:spacing w:after="0"/>
              <w:rPr>
                <w:sz w:val="1"/>
                <w:szCs w:val="1"/>
                <w:color w:val="auto"/>
              </w:rPr>
            </w:pPr>
          </w:p>
        </w:tc>
      </w:tr>
      <w:tr>
        <w:trPr>
          <w:trHeight w:val="196"/>
        </w:trPr>
        <w:tc>
          <w:tcPr>
            <w:tcW w:w="818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1,342,723</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1,434,911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integral parts of these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60" w:type="dxa"/>
            <w:vAlign w:val="bottom"/>
          </w:tcPr>
          <w:p>
            <w:pPr>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5"/>
        </w:trPr>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 the Years Ended December 31,</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r>
      <w:tr>
        <w:trPr>
          <w:trHeight w:val="224"/>
        </w:trPr>
        <w:tc>
          <w:tcPr>
            <w:tcW w:w="54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268,550</w:t>
            </w:r>
          </w:p>
        </w:tc>
        <w:tc>
          <w:tcPr>
            <w:tcW w:w="80" w:type="dxa"/>
            <w:vAlign w:val="bottom"/>
          </w:tcPr>
          <w:p>
            <w:pPr>
              <w:spacing w:after="0"/>
              <w:rPr>
                <w:sz w:val="19"/>
                <w:szCs w:val="19"/>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319,466</w:t>
            </w:r>
          </w:p>
        </w:tc>
        <w:tc>
          <w:tcPr>
            <w:tcW w:w="180" w:type="dxa"/>
            <w:vAlign w:val="bottom"/>
          </w:tcPr>
          <w:p>
            <w:pPr>
              <w:spacing w:after="0"/>
              <w:rPr>
                <w:sz w:val="19"/>
                <w:szCs w:val="19"/>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219,923</w:t>
            </w:r>
          </w:p>
        </w:tc>
      </w:tr>
      <w:tr>
        <w:trPr>
          <w:trHeight w:val="203"/>
        </w:trPr>
        <w:tc>
          <w:tcPr>
            <w:tcW w:w="5460" w:type="dxa"/>
            <w:vAlign w:val="bottom"/>
          </w:tcPr>
          <w:p>
            <w:pPr>
              <w:ind w:left="18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59,051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56,583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45,205</w:t>
            </w:r>
          </w:p>
        </w:tc>
      </w:tr>
      <w:tr>
        <w:trPr>
          <w:trHeight w:val="229"/>
        </w:trPr>
        <w:tc>
          <w:tcPr>
            <w:tcW w:w="5460" w:type="dxa"/>
            <w:vAlign w:val="bottom"/>
          </w:tcPr>
          <w:p>
            <w:pPr>
              <w:ind w:left="360"/>
              <w:spacing w:after="0"/>
              <w:rPr>
                <w:sz w:val="20"/>
                <w:szCs w:val="20"/>
                <w:color w:val="auto"/>
              </w:rPr>
            </w:pPr>
            <w:r>
              <w:rPr>
                <w:rFonts w:ascii="Arial" w:cs="Arial" w:eastAsia="Arial" w:hAnsi="Arial"/>
                <w:sz w:val="14"/>
                <w:szCs w:val="14"/>
                <w:color w:val="auto"/>
              </w:rPr>
              <w:t>Stock option expense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22,502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18,422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14,831</w:t>
            </w:r>
          </w:p>
        </w:tc>
      </w:tr>
      <w:tr>
        <w:trPr>
          <w:trHeight w:val="229"/>
        </w:trPr>
        <w:tc>
          <w:tcPr>
            <w:tcW w:w="5460" w:type="dxa"/>
            <w:vAlign w:val="bottom"/>
          </w:tcPr>
          <w:p>
            <w:pPr>
              <w:ind w:left="360"/>
              <w:spacing w:after="0"/>
              <w:rPr>
                <w:sz w:val="20"/>
                <w:szCs w:val="20"/>
                <w:color w:val="auto"/>
              </w:rPr>
            </w:pPr>
            <w:r>
              <w:rPr>
                <w:rFonts w:ascii="Arial" w:cs="Arial" w:eastAsia="Arial" w:hAnsi="Arial"/>
                <w:sz w:val="14"/>
                <w:szCs w:val="14"/>
                <w:color w:val="auto"/>
              </w:rPr>
              <w:t>Deferred payroll taxes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36,350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460" w:type="dxa"/>
            <w:vAlign w:val="bottom"/>
          </w:tcPr>
          <w:p>
            <w:pPr>
              <w:ind w:left="360"/>
              <w:spacing w:after="0"/>
              <w:rPr>
                <w:sz w:val="20"/>
                <w:szCs w:val="20"/>
                <w:color w:val="auto"/>
              </w:rPr>
            </w:pPr>
            <w:r>
              <w:rPr>
                <w:rFonts w:ascii="Arial" w:cs="Arial" w:eastAsia="Arial" w:hAnsi="Arial"/>
                <w:sz w:val="14"/>
                <w:szCs w:val="14"/>
                <w:color w:val="auto"/>
              </w:rPr>
              <w:t>Litigation settlements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2,684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29"/>
        </w:trPr>
        <w:tc>
          <w:tcPr>
            <w:tcW w:w="5460" w:type="dxa"/>
            <w:vAlign w:val="bottom"/>
          </w:tcPr>
          <w:p>
            <w:pPr>
              <w:ind w:left="360"/>
              <w:spacing w:after="0"/>
              <w:rPr>
                <w:sz w:val="20"/>
                <w:szCs w:val="20"/>
                <w:color w:val="auto"/>
              </w:rPr>
            </w:pPr>
            <w:r>
              <w:rPr>
                <w:rFonts w:ascii="Arial" w:cs="Arial" w:eastAsia="Arial" w:hAnsi="Arial"/>
                <w:sz w:val="14"/>
                <w:szCs w:val="14"/>
                <w:color w:val="auto"/>
              </w:rPr>
              <w:t>Noncash portion of long-term incentive compensation</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7,745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7,208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5,740</w:t>
            </w:r>
          </w:p>
        </w:tc>
      </w:tr>
      <w:tr>
        <w:trPr>
          <w:trHeight w:val="229"/>
        </w:trPr>
        <w:tc>
          <w:tcPr>
            <w:tcW w:w="5460" w:type="dxa"/>
            <w:vAlign w:val="bottom"/>
          </w:tcPr>
          <w:p>
            <w:pPr>
              <w:ind w:left="360"/>
              <w:spacing w:after="0"/>
              <w:rPr>
                <w:sz w:val="20"/>
                <w:szCs w:val="20"/>
                <w:color w:val="auto"/>
              </w:rPr>
            </w:pPr>
            <w:r>
              <w:rPr>
                <w:rFonts w:ascii="Arial" w:cs="Arial" w:eastAsia="Arial" w:hAnsi="Arial"/>
                <w:sz w:val="14"/>
                <w:szCs w:val="14"/>
                <w:color w:val="auto"/>
              </w:rPr>
              <w:t>Provision/(benefit) for deferred income taxes (Note 11)</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1,433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(2,770)</w:t>
            </w:r>
          </w:p>
        </w:tc>
      </w:tr>
      <w:tr>
        <w:trPr>
          <w:trHeight w:val="230"/>
        </w:trPr>
        <w:tc>
          <w:tcPr>
            <w:tcW w:w="5460" w:type="dxa"/>
            <w:vAlign w:val="bottom"/>
          </w:tcPr>
          <w:p>
            <w:pPr>
              <w:ind w:left="360"/>
              <w:spacing w:after="0"/>
              <w:rPr>
                <w:sz w:val="20"/>
                <w:szCs w:val="20"/>
                <w:color w:val="auto"/>
              </w:rPr>
            </w:pPr>
            <w:r>
              <w:rPr>
                <w:rFonts w:ascii="Arial" w:cs="Arial" w:eastAsia="Arial" w:hAnsi="Arial"/>
                <w:sz w:val="14"/>
                <w:szCs w:val="14"/>
                <w:color w:val="auto"/>
              </w:rPr>
              <w:t>Noncash directors' compensation</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1,171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29"/>
        </w:trPr>
        <w:tc>
          <w:tcPr>
            <w:tcW w:w="546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306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30"/>
        </w:trPr>
        <w:tc>
          <w:tcPr>
            <w:tcW w:w="5460" w:type="dxa"/>
            <w:vAlign w:val="bottom"/>
          </w:tcPr>
          <w:p>
            <w:pPr>
              <w:ind w:left="360"/>
              <w:spacing w:after="0"/>
              <w:rPr>
                <w:sz w:val="20"/>
                <w:szCs w:val="20"/>
                <w:color w:val="auto"/>
              </w:rPr>
            </w:pPr>
            <w:r>
              <w:rPr>
                <w:rFonts w:ascii="Arial" w:cs="Arial" w:eastAsia="Arial" w:hAnsi="Arial"/>
                <w:sz w:val="14"/>
                <w:szCs w:val="14"/>
                <w:color w:val="auto"/>
              </w:rPr>
              <w:t>Loss on sale of transportation equipment (Note 19)</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2,266</w:t>
            </w:r>
          </w:p>
        </w:tc>
      </w:tr>
      <w:tr>
        <w:trPr>
          <w:trHeight w:val="229"/>
        </w:trPr>
        <w:tc>
          <w:tcPr>
            <w:tcW w:w="546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60" w:type="dxa"/>
            <w:vAlign w:val="bottom"/>
          </w:tcPr>
          <w:p>
            <w:pPr>
              <w:ind w:left="720"/>
              <w:spacing w:after="0"/>
              <w:rPr>
                <w:sz w:val="20"/>
                <w:szCs w:val="20"/>
                <w:color w:val="auto"/>
              </w:rPr>
            </w:pPr>
            <w:r>
              <w:rPr>
                <w:rFonts w:ascii="Arial" w:cs="Arial" w:eastAsia="Arial" w:hAnsi="Arial"/>
                <w:sz w:val="14"/>
                <w:szCs w:val="14"/>
                <w:color w:val="auto"/>
              </w:rPr>
              <w:t>(Increase)/decrease in accounts receivable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12,773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(19,247)</w:t>
            </w:r>
          </w:p>
        </w:tc>
      </w:tr>
      <w:tr>
        <w:trPr>
          <w:trHeight w:val="230"/>
        </w:trPr>
        <w:tc>
          <w:tcPr>
            <w:tcW w:w="5460" w:type="dxa"/>
            <w:vAlign w:val="bottom"/>
          </w:tcPr>
          <w:p>
            <w:pPr>
              <w:ind w:left="720"/>
              <w:spacing w:after="0"/>
              <w:rPr>
                <w:sz w:val="20"/>
                <w:szCs w:val="20"/>
                <w:color w:val="auto"/>
              </w:rPr>
            </w:pPr>
            <w:r>
              <w:rPr>
                <w:rFonts w:ascii="Arial" w:cs="Arial" w:eastAsia="Arial" w:hAnsi="Arial"/>
                <w:sz w:val="14"/>
                <w:szCs w:val="14"/>
                <w:color w:val="auto"/>
              </w:rPr>
              <w:t>(Increase)/decrease in inventories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(1,757)</w:t>
            </w:r>
          </w:p>
        </w:tc>
      </w:tr>
      <w:tr>
        <w:trPr>
          <w:trHeight w:val="229"/>
        </w:trPr>
        <w:tc>
          <w:tcPr>
            <w:tcW w:w="5460" w:type="dxa"/>
            <w:vAlign w:val="bottom"/>
          </w:tcPr>
          <w:p>
            <w:pPr>
              <w:ind w:left="720"/>
              <w:spacing w:after="0"/>
              <w:rPr>
                <w:sz w:val="20"/>
                <w:szCs w:val="20"/>
                <w:color w:val="auto"/>
              </w:rPr>
            </w:pPr>
            <w:r>
              <w:rPr>
                <w:rFonts w:ascii="Arial" w:cs="Arial" w:eastAsia="Arial" w:hAnsi="Arial"/>
                <w:sz w:val="14"/>
                <w:szCs w:val="14"/>
                <w:color w:val="auto"/>
              </w:rPr>
              <w:t>Increase in prepaid expenses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(3,027)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(3,491)</w:t>
            </w:r>
          </w:p>
        </w:tc>
      </w:tr>
      <w:tr>
        <w:trPr>
          <w:trHeight w:val="229"/>
        </w:trPr>
        <w:tc>
          <w:tcPr>
            <w:tcW w:w="5460" w:type="dxa"/>
            <w:vAlign w:val="bottom"/>
          </w:tcPr>
          <w:p>
            <w:pPr>
              <w:ind w:left="720"/>
              <w:spacing w:after="0"/>
              <w:rPr>
                <w:sz w:val="20"/>
                <w:szCs w:val="20"/>
                <w:color w:val="auto"/>
              </w:rPr>
            </w:pPr>
            <w:r>
              <w:rPr>
                <w:rFonts w:ascii="Arial" w:cs="Arial" w:eastAsia="Arial" w:hAnsi="Arial"/>
                <w:sz w:val="14"/>
                <w:szCs w:val="14"/>
                <w:color w:val="auto"/>
              </w:rPr>
              <w:t>Increase in accounts payable and other current liabilities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19,096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28,417</w:t>
            </w:r>
          </w:p>
        </w:tc>
      </w:tr>
      <w:tr>
        <w:trPr>
          <w:trHeight w:val="230"/>
        </w:trPr>
        <w:tc>
          <w:tcPr>
            <w:tcW w:w="5460" w:type="dxa"/>
            <w:vAlign w:val="bottom"/>
          </w:tcPr>
          <w:p>
            <w:pPr>
              <w:ind w:left="720"/>
              <w:spacing w:after="0"/>
              <w:rPr>
                <w:sz w:val="20"/>
                <w:szCs w:val="20"/>
                <w:color w:val="auto"/>
              </w:rPr>
            </w:pPr>
            <w:r>
              <w:rPr>
                <w:rFonts w:ascii="Arial" w:cs="Arial" w:eastAsia="Arial" w:hAnsi="Arial"/>
                <w:sz w:val="14"/>
                <w:szCs w:val="14"/>
                <w:color w:val="auto"/>
              </w:rPr>
              <w:t>Change in current income taxes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29"/>
        </w:trPr>
        <w:tc>
          <w:tcPr>
            <w:tcW w:w="5460" w:type="dxa"/>
            <w:vAlign w:val="bottom"/>
          </w:tcPr>
          <w:p>
            <w:pPr>
              <w:ind w:left="720"/>
              <w:spacing w:after="0"/>
              <w:rPr>
                <w:sz w:val="20"/>
                <w:szCs w:val="20"/>
                <w:color w:val="auto"/>
              </w:rPr>
            </w:pPr>
            <w:r>
              <w:rPr>
                <w:rFonts w:ascii="Arial" w:cs="Arial" w:eastAsia="Arial" w:hAnsi="Arial"/>
                <w:sz w:val="14"/>
                <w:szCs w:val="14"/>
                <w:color w:val="auto"/>
              </w:rPr>
              <w:t>Net change in lease assets and liabilities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3,108</w:t>
            </w:r>
          </w:p>
        </w:tc>
      </w:tr>
      <w:tr>
        <w:trPr>
          <w:trHeight w:val="230"/>
        </w:trPr>
        <w:tc>
          <w:tcPr>
            <w:tcW w:w="5460" w:type="dxa"/>
            <w:vAlign w:val="bottom"/>
          </w:tcPr>
          <w:p>
            <w:pPr>
              <w:ind w:left="720"/>
              <w:spacing w:after="0"/>
              <w:rPr>
                <w:sz w:val="20"/>
                <w:szCs w:val="20"/>
                <w:color w:val="auto"/>
              </w:rPr>
            </w:pPr>
            <w:r>
              <w:rPr>
                <w:rFonts w:ascii="Arial" w:cs="Arial" w:eastAsia="Arial" w:hAnsi="Arial"/>
                <w:sz w:val="14"/>
                <w:szCs w:val="14"/>
                <w:color w:val="auto"/>
              </w:rPr>
              <w:t>Increase in other assets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(11,834)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(11,963)</w:t>
            </w:r>
          </w:p>
        </w:tc>
      </w:tr>
      <w:tr>
        <w:trPr>
          <w:trHeight w:val="229"/>
        </w:trPr>
        <w:tc>
          <w:tcPr>
            <w:tcW w:w="5460" w:type="dxa"/>
            <w:vAlign w:val="bottom"/>
          </w:tcPr>
          <w:p>
            <w:pPr>
              <w:ind w:left="720"/>
              <w:spacing w:after="0"/>
              <w:rPr>
                <w:sz w:val="20"/>
                <w:szCs w:val="20"/>
                <w:color w:val="auto"/>
              </w:rPr>
            </w:pPr>
            <w:r>
              <w:rPr>
                <w:rFonts w:ascii="Arial" w:cs="Arial" w:eastAsia="Arial" w:hAnsi="Arial"/>
                <w:sz w:val="14"/>
                <w:szCs w:val="14"/>
                <w:color w:val="auto"/>
              </w:rPr>
              <w:t>Increase in other liabilities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12,074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12,323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12,354</w:t>
            </w:r>
          </w:p>
        </w:tc>
      </w:tr>
      <w:tr>
        <w:trPr>
          <w:trHeight w:val="215"/>
        </w:trPr>
        <w:tc>
          <w:tcPr>
            <w:tcW w:w="5460" w:type="dxa"/>
            <w:vAlign w:val="bottom"/>
          </w:tcPr>
          <w:p>
            <w:pPr>
              <w:ind w:left="360"/>
              <w:spacing w:after="0"/>
              <w:rPr>
                <w:sz w:val="20"/>
                <w:szCs w:val="20"/>
                <w:color w:val="auto"/>
              </w:rPr>
            </w:pPr>
            <w:r>
              <w:rPr>
                <w:rFonts w:ascii="Arial" w:cs="Arial" w:eastAsia="Arial" w:hAnsi="Arial"/>
                <w:sz w:val="14"/>
                <w:szCs w:val="14"/>
                <w:color w:val="auto"/>
              </w:rPr>
              <w:t>Other sources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r>
      <w:tr>
        <w:trPr>
          <w:trHeight w:val="209"/>
        </w:trPr>
        <w:tc>
          <w:tcPr>
            <w:tcW w:w="5460" w:type="dxa"/>
            <w:vAlign w:val="bottom"/>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489,289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301,249</w:t>
            </w:r>
          </w:p>
        </w:tc>
      </w:tr>
      <w:tr>
        <w:trPr>
          <w:trHeight w:val="225"/>
        </w:trPr>
        <w:tc>
          <w:tcPr>
            <w:tcW w:w="54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(58,675)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(58,831)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(53,022)</w:t>
            </w: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Business combinations, net of cash acquired (Note 7)</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(3,600)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(138,010)</w:t>
            </w:r>
          </w:p>
        </w:tc>
      </w:tr>
      <w:tr>
        <w:trPr>
          <w:trHeight w:val="214"/>
        </w:trPr>
        <w:tc>
          <w:tcPr>
            <w:tcW w:w="5460" w:type="dxa"/>
            <w:vAlign w:val="bottom"/>
          </w:tcPr>
          <w:p>
            <w:pPr>
              <w:ind w:left="180"/>
              <w:spacing w:after="0"/>
              <w:rPr>
                <w:sz w:val="20"/>
                <w:szCs w:val="20"/>
                <w:color w:val="auto"/>
              </w:rPr>
            </w:pPr>
            <w:r>
              <w:rPr>
                <w:rFonts w:ascii="Arial" w:cs="Arial" w:eastAsia="Arial" w:hAnsi="Arial"/>
                <w:sz w:val="14"/>
                <w:szCs w:val="14"/>
                <w:color w:val="auto"/>
              </w:rPr>
              <w:t>Other sources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r>
      <w:tr>
        <w:trPr>
          <w:trHeight w:val="210"/>
        </w:trPr>
        <w:tc>
          <w:tcPr>
            <w:tcW w:w="5460" w:type="dxa"/>
            <w:vAlign w:val="bottom"/>
          </w:tcPr>
          <w:p>
            <w:pPr>
              <w:ind w:left="540"/>
              <w:spacing w:after="0"/>
              <w:rPr>
                <w:sz w:val="20"/>
                <w:szCs w:val="20"/>
                <w:color w:val="auto"/>
              </w:rPr>
            </w:pPr>
            <w:r>
              <w:rPr>
                <w:rFonts w:ascii="Arial" w:cs="Arial" w:eastAsia="Arial" w:hAnsi="Arial"/>
                <w:sz w:val="14"/>
                <w:szCs w:val="14"/>
                <w:color w:val="auto"/>
              </w:rPr>
              <w:t>Net cash used by investing activities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(57,757)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(61,560)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(190,760)</w:t>
            </w:r>
          </w:p>
        </w:tc>
      </w:tr>
      <w:tr>
        <w:trPr>
          <w:trHeight w:val="225"/>
        </w:trPr>
        <w:tc>
          <w:tcPr>
            <w:tcW w:w="54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Purchases of treasury stock</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(576,042)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(175,594)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(92,631)</w:t>
            </w: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Proceeds from revolving line of credit</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210,300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174,900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482,900</w:t>
            </w:r>
          </w:p>
        </w:tc>
      </w:tr>
      <w:tr>
        <w:trPr>
          <w:trHeight w:val="229"/>
        </w:trPr>
        <w:tc>
          <w:tcPr>
            <w:tcW w:w="5460" w:type="dxa"/>
            <w:vAlign w:val="bottom"/>
          </w:tcPr>
          <w:p>
            <w:pPr>
              <w:ind w:left="180"/>
              <w:spacing w:after="0"/>
              <w:rPr>
                <w:sz w:val="20"/>
                <w:szCs w:val="20"/>
                <w:color w:val="auto"/>
              </w:rPr>
            </w:pPr>
            <w:r>
              <w:rPr>
                <w:rFonts w:ascii="Arial" w:cs="Arial" w:eastAsia="Arial" w:hAnsi="Arial"/>
                <w:sz w:val="14"/>
                <w:szCs w:val="14"/>
                <w:color w:val="auto"/>
              </w:rPr>
              <w:t>Payments on revolving line of credit</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(25,300)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(264,900)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(482,100)</w:t>
            </w: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 (Note 4)</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35,848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50,382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34,380</w:t>
            </w: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(21,079)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(19,788)</w:t>
            </w:r>
          </w:p>
        </w:tc>
      </w:tr>
      <w:tr>
        <w:trPr>
          <w:trHeight w:val="230"/>
        </w:trPr>
        <w:tc>
          <w:tcPr>
            <w:tcW w:w="5460" w:type="dxa"/>
            <w:vAlign w:val="bottom"/>
          </w:tcPr>
          <w:p>
            <w:pPr>
              <w:ind w:left="180"/>
              <w:spacing w:after="0"/>
              <w:rPr>
                <w:sz w:val="20"/>
                <w:szCs w:val="20"/>
                <w:color w:val="auto"/>
              </w:rPr>
            </w:pPr>
            <w:r>
              <w:rPr>
                <w:rFonts w:ascii="Arial" w:cs="Arial" w:eastAsia="Arial" w:hAnsi="Arial"/>
                <w:sz w:val="14"/>
                <w:szCs w:val="14"/>
                <w:color w:val="auto"/>
              </w:rPr>
              <w:t>Capital stock surrendered to pay taxes on stock-based compensation</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(25,328)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(28,474)</w:t>
            </w:r>
          </w:p>
        </w:tc>
      </w:tr>
      <w:tr>
        <w:trPr>
          <w:trHeight w:val="229"/>
        </w:trPr>
        <w:tc>
          <w:tcPr>
            <w:tcW w:w="5460" w:type="dxa"/>
            <w:vAlign w:val="bottom"/>
          </w:tcPr>
          <w:p>
            <w:pPr>
              <w:ind w:left="180"/>
              <w:spacing w:after="0"/>
              <w:rPr>
                <w:sz w:val="20"/>
                <w:szCs w:val="20"/>
                <w:color w:val="auto"/>
              </w:rPr>
            </w:pPr>
            <w:r>
              <w:rPr>
                <w:rFonts w:ascii="Arial" w:cs="Arial" w:eastAsia="Arial" w:hAnsi="Arial"/>
                <w:sz w:val="14"/>
                <w:szCs w:val="14"/>
                <w:color w:val="auto"/>
              </w:rPr>
              <w:t>Change in cash overdraft payable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11,884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(9,849)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(3,927)</w:t>
            </w:r>
          </w:p>
        </w:tc>
      </w:tr>
      <w:tr>
        <w:trPr>
          <w:trHeight w:val="215"/>
        </w:trPr>
        <w:tc>
          <w:tcPr>
            <w:tcW w:w="5460" w:type="dxa"/>
            <w:vAlign w:val="bottom"/>
          </w:tcPr>
          <w:p>
            <w:pPr>
              <w:ind w:left="180"/>
              <w:spacing w:after="0"/>
              <w:rPr>
                <w:sz w:val="20"/>
                <w:szCs w:val="20"/>
                <w:color w:val="auto"/>
              </w:rPr>
            </w:pPr>
            <w:r>
              <w:rPr>
                <w:rFonts w:ascii="Arial" w:cs="Arial" w:eastAsia="Arial" w:hAnsi="Arial"/>
                <w:sz w:val="14"/>
                <w:szCs w:val="14"/>
                <w:color w:val="auto"/>
              </w:rPr>
              <w:t>Other (uses)/sources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r>
      <w:tr>
        <w:trPr>
          <w:trHeight w:val="210"/>
        </w:trPr>
        <w:tc>
          <w:tcPr>
            <w:tcW w:w="5460" w:type="dxa"/>
            <w:vAlign w:val="bottom"/>
          </w:tcPr>
          <w:p>
            <w:pPr>
              <w:ind w:left="540"/>
              <w:spacing w:after="0"/>
              <w:rPr>
                <w:sz w:val="20"/>
                <w:szCs w:val="20"/>
                <w:color w:val="auto"/>
              </w:rPr>
            </w:pPr>
            <w:r>
              <w:rPr>
                <w:rFonts w:ascii="Arial" w:cs="Arial" w:eastAsia="Arial" w:hAnsi="Arial"/>
                <w:sz w:val="14"/>
                <w:szCs w:val="14"/>
                <w:color w:val="auto"/>
              </w:rPr>
              <w:t>Net cash used by financing activities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(271,212)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(109,162)</w:t>
            </w:r>
          </w:p>
        </w:tc>
      </w:tr>
      <w:tr>
        <w:trPr>
          <w:trHeight w:val="225"/>
        </w:trPr>
        <w:tc>
          <w:tcPr>
            <w:tcW w:w="5460" w:type="dxa"/>
            <w:vAlign w:val="bottom"/>
          </w:tcPr>
          <w:p>
            <w:pPr>
              <w:spacing w:after="0"/>
              <w:rPr>
                <w:sz w:val="20"/>
                <w:szCs w:val="20"/>
                <w:color w:val="auto"/>
              </w:rPr>
            </w:pPr>
            <w:r>
              <w:rPr>
                <w:rFonts w:ascii="Arial" w:cs="Arial" w:eastAsia="Arial" w:hAnsi="Arial"/>
                <w:sz w:val="14"/>
                <w:szCs w:val="14"/>
                <w:b w:val="1"/>
                <w:bCs w:val="1"/>
                <w:color w:val="auto"/>
              </w:rPr>
              <w:t>(Decrease)/increase in cash and cash equivalents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(129,780)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156,517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1,327</w:t>
            </w:r>
          </w:p>
        </w:tc>
      </w:tr>
      <w:tr>
        <w:trPr>
          <w:trHeight w:val="214"/>
        </w:trPr>
        <w:tc>
          <w:tcPr>
            <w:tcW w:w="546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4,831</w:t>
            </w:r>
          </w:p>
        </w:tc>
      </w:tr>
      <w:tr>
        <w:trPr>
          <w:trHeight w:val="196"/>
        </w:trPr>
        <w:tc>
          <w:tcPr>
            <w:tcW w:w="5460" w:type="dxa"/>
            <w:vAlign w:val="bottom"/>
          </w:tcPr>
          <w:p>
            <w:pPr>
              <w:spacing w:after="0"/>
              <w:rPr>
                <w:sz w:val="20"/>
                <w:szCs w:val="20"/>
                <w:color w:val="auto"/>
              </w:rPr>
            </w:pPr>
            <w:r>
              <w:rPr>
                <w:rFonts w:ascii="Arial" w:cs="Arial" w:eastAsia="Arial" w:hAnsi="Arial"/>
                <w:sz w:val="14"/>
                <w:szCs w:val="14"/>
                <w:color w:val="auto"/>
              </w:rPr>
              <w:t>Cash and cash equivalents at end of year</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32,895</w:t>
            </w:r>
          </w:p>
        </w:tc>
        <w:tc>
          <w:tcPr>
            <w:tcW w:w="80" w:type="dxa"/>
            <w:vAlign w:val="bottom"/>
          </w:tcPr>
          <w:p>
            <w:pPr>
              <w:spacing w:after="0"/>
              <w:rPr>
                <w:sz w:val="17"/>
                <w:szCs w:val="17"/>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162,675</w:t>
            </w:r>
          </w:p>
        </w:tc>
        <w:tc>
          <w:tcPr>
            <w:tcW w:w="180" w:type="dxa"/>
            <w:vAlign w:val="bottom"/>
          </w:tcPr>
          <w:p>
            <w:pPr>
              <w:spacing w:after="0"/>
              <w:rPr>
                <w:sz w:val="17"/>
                <w:szCs w:val="17"/>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6,158</w:t>
            </w:r>
          </w:p>
        </w:tc>
      </w:tr>
      <w:tr>
        <w:trPr>
          <w:trHeight w:val="20"/>
        </w:trPr>
        <w:tc>
          <w:tcPr>
            <w:tcW w:w="5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Notes to Consolidated Financial Statements are integral parts of these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STATEMENTS OF CHANGES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STOCKHOLDERS' EQUITY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(in thousands, except per share data)</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Deferred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9"/>
        </w:trPr>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Compensation</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Treasury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Payable in</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Retained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Company</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5"/>
        </w:trPr>
        <w:tc>
          <w:tcPr>
            <w:tcW w:w="4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Earnings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0"/>
              </w:rPr>
              <w:t>at Cost</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6"/>
              </w:rPr>
              <w:t>Stock</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Total</w:t>
            </w:r>
          </w:p>
        </w:tc>
      </w:tr>
      <w:tr>
        <w:trPr>
          <w:trHeight w:val="224"/>
        </w:trPr>
        <w:tc>
          <w:tcPr>
            <w:tcW w:w="4140" w:type="dxa"/>
            <w:vAlign w:val="bottom"/>
          </w:tcPr>
          <w:p>
            <w:pPr>
              <w:ind w:left="160"/>
              <w:spacing w:after="0"/>
              <w:rPr>
                <w:sz w:val="20"/>
                <w:szCs w:val="20"/>
                <w:color w:val="auto"/>
              </w:rPr>
            </w:pPr>
            <w:r>
              <w:rPr>
                <w:rFonts w:ascii="Arial" w:cs="Arial" w:eastAsia="Arial" w:hAnsi="Arial"/>
                <w:sz w:val="14"/>
                <w:szCs w:val="14"/>
                <w:color w:val="auto"/>
              </w:rPr>
              <w:t>Balance at December 31, 2018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35,311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774,358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1,225,617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(1,446,296)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591,334</w:t>
            </w:r>
          </w:p>
        </w:tc>
      </w:tr>
      <w:tr>
        <w:trPr>
          <w:trHeight w:val="229"/>
        </w:trPr>
        <w:tc>
          <w:tcPr>
            <w:tcW w:w="414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219,923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219,923</w:t>
            </w:r>
          </w:p>
        </w:tc>
      </w:tr>
      <w:tr>
        <w:trPr>
          <w:trHeight w:val="230"/>
        </w:trPr>
        <w:tc>
          <w:tcPr>
            <w:tcW w:w="4140" w:type="dxa"/>
            <w:vAlign w:val="bottom"/>
          </w:tcPr>
          <w:p>
            <w:pPr>
              <w:spacing w:after="0"/>
              <w:rPr>
                <w:sz w:val="20"/>
                <w:szCs w:val="20"/>
                <w:color w:val="auto"/>
              </w:rPr>
            </w:pPr>
            <w:r>
              <w:rPr>
                <w:rFonts w:ascii="Arial" w:cs="Arial" w:eastAsia="Arial" w:hAnsi="Arial"/>
                <w:sz w:val="14"/>
                <w:szCs w:val="14"/>
                <w:color w:val="auto"/>
              </w:rPr>
              <w:t>Dividends paid ($1.24 per share)</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(19,788)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(19,788)</w:t>
            </w:r>
          </w:p>
        </w:tc>
      </w:tr>
      <w:tr>
        <w:trPr>
          <w:trHeight w:val="229"/>
        </w:trPr>
        <w:tc>
          <w:tcPr>
            <w:tcW w:w="4140" w:type="dxa"/>
            <w:vAlign w:val="bottom"/>
          </w:tcPr>
          <w:p>
            <w:pPr>
              <w:spacing w:after="0"/>
              <w:rPr>
                <w:sz w:val="20"/>
                <w:szCs w:val="20"/>
                <w:color w:val="auto"/>
              </w:rPr>
            </w:pPr>
            <w:r>
              <w:rPr>
                <w:rFonts w:ascii="Arial" w:cs="Arial" w:eastAsia="Arial" w:hAnsi="Arial"/>
                <w:sz w:val="14"/>
                <w:szCs w:val="14"/>
                <w:color w:val="auto"/>
              </w:rPr>
              <w:t>Stock awards and exercise of stock options (Note 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85,788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(59,043)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27,245</w:t>
            </w:r>
          </w:p>
        </w:tc>
      </w:tr>
      <w:tr>
        <w:trPr>
          <w:trHeight w:val="229"/>
        </w:trPr>
        <w:tc>
          <w:tcPr>
            <w:tcW w:w="4140" w:type="dxa"/>
            <w:vAlign w:val="bottom"/>
          </w:tcPr>
          <w:p>
            <w:pPr>
              <w:spacing w:after="0"/>
              <w:rPr>
                <w:sz w:val="20"/>
                <w:szCs w:val="20"/>
                <w:color w:val="auto"/>
              </w:rPr>
            </w:pPr>
            <w:r>
              <w:rPr>
                <w:rFonts w:ascii="Arial" w:cs="Arial" w:eastAsia="Arial" w:hAnsi="Arial"/>
                <w:sz w:val="14"/>
                <w:szCs w:val="14"/>
                <w:color w:val="auto"/>
              </w:rPr>
              <w:t>Purchases of treasury stock (Note 18)</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(92,631)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(92,631)</w:t>
            </w:r>
          </w:p>
        </w:tc>
      </w:tr>
      <w:tr>
        <w:trPr>
          <w:trHeight w:val="215"/>
        </w:trPr>
        <w:tc>
          <w:tcPr>
            <w:tcW w:w="414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24"/>
        </w:trPr>
        <w:tc>
          <w:tcPr>
            <w:tcW w:w="4140" w:type="dxa"/>
            <w:vAlign w:val="bottom"/>
          </w:tcPr>
          <w:p>
            <w:pPr>
              <w:ind w:left="160"/>
              <w:spacing w:after="0"/>
              <w:rPr>
                <w:sz w:val="20"/>
                <w:szCs w:val="20"/>
                <w:color w:val="auto"/>
              </w:rPr>
            </w:pPr>
            <w:r>
              <w:rPr>
                <w:rFonts w:ascii="Arial" w:cs="Arial" w:eastAsia="Arial" w:hAnsi="Arial"/>
                <w:sz w:val="14"/>
                <w:szCs w:val="14"/>
                <w:color w:val="auto"/>
              </w:rPr>
              <w:t>Balance at December 31, 2019</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860,671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1,425,752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(1,597,940)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2,314</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726,608</w:t>
            </w:r>
          </w:p>
        </w:tc>
      </w:tr>
      <w:tr>
        <w:trPr>
          <w:trHeight w:val="230"/>
        </w:trPr>
        <w:tc>
          <w:tcPr>
            <w:tcW w:w="414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319,466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319,466</w:t>
            </w:r>
          </w:p>
        </w:tc>
      </w:tr>
      <w:tr>
        <w:trPr>
          <w:trHeight w:val="229"/>
        </w:trPr>
        <w:tc>
          <w:tcPr>
            <w:tcW w:w="4140" w:type="dxa"/>
            <w:vAlign w:val="bottom"/>
          </w:tcPr>
          <w:p>
            <w:pPr>
              <w:spacing w:after="0"/>
              <w:rPr>
                <w:sz w:val="20"/>
                <w:szCs w:val="20"/>
                <w:color w:val="auto"/>
              </w:rPr>
            </w:pPr>
            <w:r>
              <w:rPr>
                <w:rFonts w:ascii="Arial" w:cs="Arial" w:eastAsia="Arial" w:hAnsi="Arial"/>
                <w:sz w:val="14"/>
                <w:szCs w:val="14"/>
                <w:color w:val="auto"/>
              </w:rPr>
              <w:t>Dividends paid ($1.32 per share)</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(21,079)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(21,079)</w:t>
            </w:r>
          </w:p>
        </w:tc>
      </w:tr>
      <w:tr>
        <w:trPr>
          <w:trHeight w:val="229"/>
        </w:trPr>
        <w:tc>
          <w:tcPr>
            <w:tcW w:w="4140" w:type="dxa"/>
            <w:vAlign w:val="bottom"/>
          </w:tcPr>
          <w:p>
            <w:pPr>
              <w:spacing w:after="0"/>
              <w:rPr>
                <w:sz w:val="20"/>
                <w:szCs w:val="20"/>
                <w:color w:val="auto"/>
              </w:rPr>
            </w:pPr>
            <w:r>
              <w:rPr>
                <w:rFonts w:ascii="Arial" w:cs="Arial" w:eastAsia="Arial" w:hAnsi="Arial"/>
                <w:sz w:val="14"/>
                <w:szCs w:val="14"/>
                <w:color w:val="auto"/>
              </w:rPr>
              <w:t>Stock awards and exercise of stock options (Note 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100,427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(49,020)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51,855</w:t>
            </w:r>
          </w:p>
        </w:tc>
      </w:tr>
      <w:tr>
        <w:trPr>
          <w:trHeight w:val="230"/>
        </w:trPr>
        <w:tc>
          <w:tcPr>
            <w:tcW w:w="4140" w:type="dxa"/>
            <w:vAlign w:val="bottom"/>
          </w:tcPr>
          <w:p>
            <w:pPr>
              <w:spacing w:after="0"/>
              <w:rPr>
                <w:sz w:val="20"/>
                <w:szCs w:val="20"/>
                <w:color w:val="auto"/>
              </w:rPr>
            </w:pPr>
            <w:r>
              <w:rPr>
                <w:rFonts w:ascii="Arial" w:cs="Arial" w:eastAsia="Arial" w:hAnsi="Arial"/>
                <w:sz w:val="14"/>
                <w:szCs w:val="14"/>
                <w:color w:val="auto"/>
              </w:rPr>
              <w:t>Purchases of treasury stock (Note 18)</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(175,594)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(175,594)</w:t>
            </w:r>
          </w:p>
        </w:tc>
      </w:tr>
      <w:tr>
        <w:trPr>
          <w:trHeight w:val="215"/>
        </w:trPr>
        <w:tc>
          <w:tcPr>
            <w:tcW w:w="414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24"/>
        </w:trPr>
        <w:tc>
          <w:tcPr>
            <w:tcW w:w="4140" w:type="dxa"/>
            <w:vAlign w:val="bottom"/>
          </w:tcPr>
          <w:p>
            <w:pPr>
              <w:ind w:left="160"/>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36,259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961,404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1,723,777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(1,822,579)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2,339</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901,200</w:t>
            </w:r>
          </w:p>
        </w:tc>
      </w:tr>
      <w:tr>
        <w:trPr>
          <w:trHeight w:val="229"/>
        </w:trPr>
        <w:tc>
          <w:tcPr>
            <w:tcW w:w="41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268,550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268,550</w:t>
            </w:r>
          </w:p>
        </w:tc>
      </w:tr>
      <w:tr>
        <w:trPr>
          <w:trHeight w:val="229"/>
        </w:trPr>
        <w:tc>
          <w:tcPr>
            <w:tcW w:w="4140" w:type="dxa"/>
            <w:vAlign w:val="bottom"/>
          </w:tcPr>
          <w:p>
            <w:pPr>
              <w:spacing w:after="0"/>
              <w:rPr>
                <w:sz w:val="20"/>
                <w:szCs w:val="20"/>
                <w:color w:val="auto"/>
              </w:rPr>
            </w:pPr>
            <w:r>
              <w:rPr>
                <w:rFonts w:ascii="Arial" w:cs="Arial" w:eastAsia="Arial" w:hAnsi="Arial"/>
                <w:sz w:val="14"/>
                <w:szCs w:val="14"/>
                <w:b w:val="1"/>
                <w:bCs w:val="1"/>
                <w:color w:val="auto"/>
              </w:rPr>
              <w:t>Dividends paid ($1.40 per share)</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(22,016)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(22,016)</w:t>
            </w:r>
          </w:p>
        </w:tc>
      </w:tr>
      <w:tr>
        <w:trPr>
          <w:trHeight w:val="230"/>
        </w:trPr>
        <w:tc>
          <w:tcPr>
            <w:tcW w:w="4140" w:type="dxa"/>
            <w:vAlign w:val="bottom"/>
          </w:tcPr>
          <w:p>
            <w:pPr>
              <w:spacing w:after="0"/>
              <w:rPr>
                <w:sz w:val="20"/>
                <w:szCs w:val="20"/>
                <w:color w:val="auto"/>
              </w:rPr>
            </w:pPr>
            <w:r>
              <w:rPr>
                <w:rFonts w:ascii="Arial" w:cs="Arial" w:eastAsia="Arial" w:hAnsi="Arial"/>
                <w:sz w:val="14"/>
                <w:szCs w:val="14"/>
                <w:b w:val="1"/>
                <w:bCs w:val="1"/>
                <w:color w:val="auto"/>
              </w:rPr>
              <w:t>Stock awards and exercise of stock options (Note 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82,921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(31,037)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52,139</w:t>
            </w:r>
          </w:p>
        </w:tc>
      </w:tr>
      <w:tr>
        <w:trPr>
          <w:trHeight w:val="229"/>
        </w:trPr>
        <w:tc>
          <w:tcPr>
            <w:tcW w:w="4140" w:type="dxa"/>
            <w:vAlign w:val="bottom"/>
          </w:tcPr>
          <w:p>
            <w:pPr>
              <w:spacing w:after="0"/>
              <w:rPr>
                <w:sz w:val="20"/>
                <w:szCs w:val="20"/>
                <w:color w:val="auto"/>
              </w:rPr>
            </w:pPr>
            <w:r>
              <w:rPr>
                <w:rFonts w:ascii="Arial" w:cs="Arial" w:eastAsia="Arial" w:hAnsi="Arial"/>
                <w:sz w:val="14"/>
                <w:szCs w:val="14"/>
                <w:b w:val="1"/>
                <w:bCs w:val="1"/>
                <w:color w:val="auto"/>
              </w:rPr>
              <w:t>Purchases of treasury stock (Note 18)</w:t>
            </w: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(576,483)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(576,483)</w:t>
            </w:r>
          </w:p>
        </w:tc>
      </w:tr>
      <w:tr>
        <w:trPr>
          <w:trHeight w:val="215"/>
        </w:trPr>
        <w:tc>
          <w:tcPr>
            <w:tcW w:w="414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(138)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20"/>
        </w:trPr>
        <w:tc>
          <w:tcPr>
            <w:tcW w:w="4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96"/>
        </w:trPr>
        <w:tc>
          <w:tcPr>
            <w:tcW w:w="4140" w:type="dxa"/>
            <w:vAlign w:val="bottom"/>
          </w:tcPr>
          <w:p>
            <w:pPr>
              <w:ind w:left="160"/>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36,514</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1,044,341</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1,970,311</w:t>
            </w:r>
          </w:p>
        </w:tc>
        <w:tc>
          <w:tcPr>
            <w:tcW w:w="8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(2,430,094)</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2,201</w:t>
            </w:r>
          </w:p>
        </w:tc>
        <w:tc>
          <w:tcPr>
            <w:tcW w:w="14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623,273</w:t>
            </w: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Notes to Consolidated Financial Statements are integral parts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operate through our two wholly-owned subsidiaries: VITAS Healthcare Corporation (“VITAS”) and Roto-Rooter Group, Inc. (“Roto-Rooter”). VITAS focuses on hospice care that helps make terminally ill patients' final days as comfortable as possible. Through its team of doctors, nurses, home health aides, social workers, clergy and volunteers, VITAS provides direct medical services to patients, as well as spiritual and emotional counseling to both patients and their families. Roto-Rooter provides plumbing, drain cleaning and water restoration services to both residential and commercial customers. Through its network of company-owned branches, independent contractors and franchisees, Roto-Rooter offers plumbing, drain cleaning service and water restoration to approximately 90% of the U.S. population.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ACCOUNTING</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consolidated financial statements have been prepared on a going-concern basis. The consolidated financial statements include the accounts of Chemed Corporation and its wholly owned subsidiaries. All intercompany transactions have been eliminated. We have analyzed the provisions of the Financial Accounting Standards Board (“FASB”) authoritative guidance on the consolidation of variable interest entities relative to our contractual relationships with Roto-Rooter’s independent contractors and franchisees. The guidance requires the primary beneficiary of a Variable Interest Entity (“VIE”) to consolidate the accounts of the VIE. We have concluded that neither the independent contractors nor the franchisees are VIEs.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EXPECTED CREDIT LOSSES</w:t>
      </w:r>
    </w:p>
    <w:p>
      <w:pPr>
        <w:spacing w:after="0" w:line="17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June 2016, the FASB issued ASU No. 2016-13, Financial Instruments, Credit Losses. The Company’s only material financial asset subject to ASU No. 2016-13 is accounts receivable, trade and other. The Company recognizes an allowance for credit losses related to accounts receivable to present the net amount expected to be collected as of the balance sheet date. Accounts receivable are written-off when it is determined that the amount is deemed uncollectible. The following presents a detailed discussion of the operating subsidiaries’ accounts receivable and their evaluation of credit risk related to those accounts:</w:t>
      </w:r>
    </w:p>
    <w:p>
      <w:pPr>
        <w:spacing w:after="0" w:line="151" w:lineRule="exact"/>
        <w:rPr>
          <w:sz w:val="20"/>
          <w:szCs w:val="20"/>
          <w:color w:val="auto"/>
        </w:rPr>
      </w:pPr>
    </w:p>
    <w:p>
      <w:pPr>
        <w:jc w:val="both"/>
        <w:ind w:left="660"/>
        <w:spacing w:after="0" w:line="234" w:lineRule="auto"/>
        <w:rPr>
          <w:sz w:val="20"/>
          <w:szCs w:val="20"/>
          <w:color w:val="auto"/>
        </w:rPr>
      </w:pPr>
      <w:r>
        <w:rPr>
          <w:rFonts w:ascii="Arial" w:cs="Arial" w:eastAsia="Arial" w:hAnsi="Arial"/>
          <w:sz w:val="17"/>
          <w:szCs w:val="17"/>
          <w:color w:val="auto"/>
        </w:rPr>
        <w:t>Roto-Rooter’s trade accounts receivable are comprised mainly of amounts due from commercial entities and commercial insurance carriers. Roto-Rooter’s accounts receivable are generally outstanding for 90 days or less and there are no significant amounts outstanding greater than one year. Roto-Rooter historically has not experienced significant write-offs due to credit losses. For amounts due from commercial entities, Roto-Rooter utilizes a provision matrix based on historical credit losses by aging category. For amounts due from commercial insurance carriers, mainly from water restoration revenue, Roto-Rooter periodically reviews published default tables related to commercial insurance carriers and provides an allowance. As further discussed below, Roto-Rooter assesses on a quarterly basis whether the historical rates used are expected to be representative of credit risk over the life of the account taking into consideration existing economic conditions.</w:t>
      </w:r>
    </w:p>
    <w:p>
      <w:pPr>
        <w:spacing w:after="0" w:line="5" w:lineRule="exact"/>
        <w:rPr>
          <w:sz w:val="20"/>
          <w:szCs w:val="20"/>
          <w:color w:val="auto"/>
        </w:rPr>
      </w:pPr>
    </w:p>
    <w:p>
      <w:pPr>
        <w:jc w:val="both"/>
        <w:ind w:left="660"/>
        <w:spacing w:after="0" w:line="236" w:lineRule="auto"/>
        <w:rPr>
          <w:sz w:val="20"/>
          <w:szCs w:val="20"/>
          <w:color w:val="auto"/>
        </w:rPr>
      </w:pPr>
      <w:r>
        <w:rPr>
          <w:rFonts w:ascii="Arial" w:cs="Arial" w:eastAsia="Arial" w:hAnsi="Arial"/>
          <w:sz w:val="17"/>
          <w:szCs w:val="17"/>
          <w:color w:val="auto"/>
        </w:rPr>
        <w:t>In excess of 90% of VITAS’ accounts receivable are from the Federal or state governments under Medicare and Medicaid. VITAS believes that it is reasonable to expect that the risk of non-payment as a result of credit issues from these government entities is zero. As such, there is no allowance for credit losses established related to these accounts. The remainder of VITAS’ accounts are from commercial insurance carriers. VITAS’ accounts are generally outstanding for 90 days or less and there are no significant amounts outstanding greater than one year. VITAS historically has not experienced significant write-offs due to credit losses. VITAS periodically reviews published default tables related to commercial insurance carriers and provides an allowance. VITAS assesses on a quarterly basis whether these default rates are expected to be representative of credit risk over the life of the account taking into consideration existing economic conditions.</w:t>
      </w:r>
    </w:p>
    <w:p>
      <w:pPr>
        <w:spacing w:after="0" w:line="15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further discussed in Note 3, Chemed has $46.2 million in standby letters of credit outstanding. These letters of credit are with large, highly rated financial institutions. The Company periodically reviews published default tables related to these institutions to assess the need for an allowance. Chemed believes that any expected credit loss related to outstanding letters of credit based on current economic conditions is not material. The allowance for doubtful accounts is not material at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STIMULUS (CARES) ACT</w:t>
      </w:r>
    </w:p>
    <w:p>
      <w:pPr>
        <w:spacing w:after="0" w:line="17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are closely monitoring the impact of the pandemic on all aspects of our business including impacts to employees, customers, patients, suppliers and vendors. 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To date, we have seen shifts in demand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jc w:val="both"/>
        <w:spacing w:after="0" w:line="231" w:lineRule="auto"/>
        <w:rPr>
          <w:sz w:val="20"/>
          <w:szCs w:val="20"/>
          <w:color w:val="auto"/>
        </w:rPr>
      </w:pPr>
      <w:r>
        <w:rPr>
          <w:rFonts w:ascii="Arial" w:cs="Arial" w:eastAsia="Arial" w:hAnsi="Arial"/>
          <w:sz w:val="18"/>
          <w:szCs w:val="18"/>
          <w:color w:val="auto"/>
        </w:rPr>
        <w:t>mix of services, changes in referral patterns, an increase in usage and reliance on our technology infrastructure, difficulties hiring and retaining workforce and vaccine mandates imposed on our frontline healthcare workers, among other changes.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March 27, 2020, the CARES Act was passed. It provides economic relief to individuals and businesses affected by the coronavirus pandemic. It also contains provisions related to healthcare providers’ operations and the issues caused by the coronavirus pandemic. The following are significant economic impacts for Chemed and its subsidiaries as a result of specific provisions of the CARES Act:</w:t>
      </w:r>
    </w:p>
    <w:p>
      <w:pPr>
        <w:spacing w:after="0" w:line="138"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A portion of the CARES Act provides $100 billion from the Public Health and Social Services Emergency Fund (“Relief Fund”) to healthcare providers on the front lines of the coronavirus response. Of this distribution, $30 billion was designated to be automatically distributed to facilities and healthcare providers based upon their 2019 Medicare fee-for-service revenue.</w:t>
      </w:r>
    </w:p>
    <w:p>
      <w:pPr>
        <w:spacing w:after="0" w:line="1" w:lineRule="exact"/>
        <w:rPr>
          <w:sz w:val="20"/>
          <w:szCs w:val="20"/>
          <w:color w:val="auto"/>
        </w:rPr>
      </w:pPr>
    </w:p>
    <w:p>
      <w:pPr>
        <w:jc w:val="both"/>
        <w:ind w:left="660"/>
        <w:spacing w:after="0" w:line="246" w:lineRule="auto"/>
        <w:rPr>
          <w:sz w:val="20"/>
          <w:szCs w:val="20"/>
          <w:color w:val="auto"/>
        </w:rPr>
      </w:pPr>
      <w:r>
        <w:rPr>
          <w:rFonts w:ascii="Arial" w:cs="Arial" w:eastAsia="Arial" w:hAnsi="Arial"/>
          <w:sz w:val="16"/>
          <w:szCs w:val="16"/>
          <w:color w:val="auto"/>
        </w:rPr>
        <w:t>On April 10, 2020 VITAS received $80.2 million from the Relief Fund based upon VITAS’s 2019 Medicare fee-for-service revenue. The main condition that is attached to the grant is that the money will be used “only for health care related expenses or lost revenues that are attributable to coronavirus”. HHS guidance does not specifically designate what healthcare expenses are related to COVID-19. The guidance to date is general and broad but does provide some examples such as equipment and supplies, workforce training, reporting COVID-19 test results, securing separate facilities for COVID-19 patients and acquiring additional resources to expand or preserve care delivery.</w:t>
      </w:r>
    </w:p>
    <w:p>
      <w:pPr>
        <w:spacing w:after="0" w:line="2" w:lineRule="exact"/>
        <w:rPr>
          <w:sz w:val="20"/>
          <w:szCs w:val="20"/>
          <w:color w:val="auto"/>
        </w:rPr>
      </w:pPr>
    </w:p>
    <w:p>
      <w:pPr>
        <w:jc w:val="both"/>
        <w:ind w:left="660"/>
        <w:spacing w:after="0" w:line="232" w:lineRule="auto"/>
        <w:rPr>
          <w:sz w:val="20"/>
          <w:szCs w:val="20"/>
          <w:color w:val="auto"/>
        </w:rPr>
      </w:pPr>
      <w:r>
        <w:rPr>
          <w:rFonts w:ascii="Arial" w:cs="Arial" w:eastAsia="Arial" w:hAnsi="Arial"/>
          <w:sz w:val="17"/>
          <w:szCs w:val="17"/>
          <w:color w:val="auto"/>
        </w:rPr>
        <w:t>The additional conditions to the Relief Fund payment are specific in nature, such as the money cannot be used for gun control advocacy purposes, abortions, embryo research, etc. The Company is in compliance, and intends to maintain compliance, with these specific conditions. Based on this analysis, management believes that there is reasonable assurance that VITAS will comply with the conditions.</w:t>
      </w:r>
    </w:p>
    <w:p>
      <w:pPr>
        <w:jc w:val="both"/>
        <w:ind w:left="660"/>
        <w:spacing w:after="0" w:line="219" w:lineRule="auto"/>
        <w:rPr>
          <w:sz w:val="20"/>
          <w:szCs w:val="20"/>
          <w:color w:val="auto"/>
        </w:rPr>
      </w:pPr>
      <w:r>
        <w:rPr>
          <w:rFonts w:ascii="Arial" w:cs="Arial" w:eastAsia="Arial" w:hAnsi="Arial"/>
          <w:sz w:val="18"/>
          <w:szCs w:val="18"/>
          <w:color w:val="auto"/>
        </w:rPr>
        <w:t>Chemed and its subsidiaries deferred $36.4 million of certain employer payroll taxes as permitted by the CARES Act in 2020. $18.2 million was paid in 2021 and $18.2 million is classified as a short-term liability.</w:t>
      </w:r>
    </w:p>
    <w:p>
      <w:pPr>
        <w:jc w:val="both"/>
        <w:ind w:left="660"/>
        <w:spacing w:after="0" w:line="266" w:lineRule="auto"/>
        <w:rPr>
          <w:sz w:val="20"/>
          <w:szCs w:val="20"/>
          <w:color w:val="auto"/>
        </w:rPr>
      </w:pPr>
      <w:r>
        <w:rPr>
          <w:rFonts w:ascii="Arial" w:cs="Arial" w:eastAsia="Arial" w:hAnsi="Arial"/>
          <w:sz w:val="16"/>
          <w:szCs w:val="16"/>
          <w:color w:val="auto"/>
        </w:rPr>
        <w:t>During the period from May 1, 2020 through March 31, 2022, the 2% Medicare sequestration reimbursement cut was suspended. Sequestration will be phased back into place at 1% from April 1, 2022 to June 30, 2022 and the full 2% thereafter. For the years ended December 31, 2021 and 2020 approximately $23.9 million and $16.8 million, respectively, was recognized as revenue due to the suspension of sequestration.</w:t>
      </w:r>
    </w:p>
    <w:p>
      <w:pPr>
        <w:spacing w:after="0" w:line="8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All CARES Act funds received were fully recognized during the year ended December 31, 2020. The Company analogized to International Accounting Standard 20 – </w:t>
      </w:r>
      <w:r>
        <w:rPr>
          <w:rFonts w:ascii="Arial" w:cs="Arial" w:eastAsia="Arial" w:hAnsi="Arial"/>
          <w:sz w:val="18"/>
          <w:szCs w:val="18"/>
          <w:i w:val="1"/>
          <w:iCs w:val="1"/>
          <w:color w:val="auto"/>
        </w:rPr>
        <w:t>Accounting for Government Grants and Disclosures</w:t>
      </w:r>
      <w:r>
        <w:rPr>
          <w:rFonts w:ascii="Arial" w:cs="Arial" w:eastAsia="Arial" w:hAnsi="Arial"/>
          <w:sz w:val="18"/>
          <w:szCs w:val="18"/>
          <w:color w:val="auto"/>
        </w:rPr>
        <w:t xml:space="preserve"> (“IAS 20”) to account for the CARES Act grant received. Under IAS 20, once it is reasonably assured that the entity will comply with the conditions of the grant, the grant money should be recognized on a systematic basis over the periods in which the entity recognizes the related expenses or lost revenue. The portal to report utilization of CARES Act funds opened on July 1, 2021. We completed our reporting by the September 30, 2021 deadline.</w:t>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amount recognized during 2020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Lost revenue</w:t>
            </w:r>
          </w:p>
        </w:tc>
        <w:tc>
          <w:tcPr>
            <w:tcW w:w="2120" w:type="dxa"/>
            <w:vAlign w:val="bottom"/>
          </w:tcPr>
          <w:p>
            <w:pPr>
              <w:jc w:val="right"/>
              <w:ind w:right="1968"/>
              <w:spacing w:after="0"/>
              <w:rPr>
                <w:sz w:val="20"/>
                <w:szCs w:val="20"/>
                <w:color w:val="auto"/>
              </w:rPr>
            </w:pPr>
            <w:r>
              <w:rPr>
                <w:rFonts w:ascii="Arial" w:cs="Arial" w:eastAsia="Arial" w:hAnsi="Arial"/>
                <w:sz w:val="14"/>
                <w:szCs w:val="14"/>
                <w:b w:val="1"/>
                <w:bCs w:val="1"/>
                <w:color w:val="auto"/>
                <w:w w:val="76"/>
              </w:rPr>
              <w:t>$</w:t>
            </w: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44,784</w:t>
            </w:r>
          </w:p>
        </w:tc>
      </w:tr>
      <w:tr>
        <w:trPr>
          <w:trHeight w:val="230"/>
        </w:trPr>
        <w:tc>
          <w:tcPr>
            <w:tcW w:w="6640" w:type="dxa"/>
            <w:vAlign w:val="bottom"/>
          </w:tcPr>
          <w:p>
            <w:pPr>
              <w:spacing w:after="0"/>
              <w:rPr>
                <w:sz w:val="20"/>
                <w:szCs w:val="20"/>
                <w:color w:val="auto"/>
              </w:rPr>
            </w:pPr>
            <w:r>
              <w:rPr>
                <w:rFonts w:ascii="Arial" w:cs="Arial" w:eastAsia="Arial" w:hAnsi="Arial"/>
                <w:sz w:val="16"/>
                <w:szCs w:val="16"/>
                <w:color w:val="auto"/>
              </w:rPr>
              <w:t>Incremental PTO</w:t>
            </w:r>
          </w:p>
        </w:tc>
        <w:tc>
          <w:tcPr>
            <w:tcW w:w="2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21,425</w:t>
            </w: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Hard costs</w:t>
            </w:r>
          </w:p>
        </w:tc>
        <w:tc>
          <w:tcPr>
            <w:tcW w:w="2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14,016</w:t>
            </w:r>
          </w:p>
        </w:tc>
      </w:tr>
      <w:tr>
        <w:trPr>
          <w:trHeight w:val="196"/>
        </w:trPr>
        <w:tc>
          <w:tcPr>
            <w:tcW w:w="6640" w:type="dxa"/>
            <w:vAlign w:val="bottom"/>
          </w:tcPr>
          <w:p>
            <w:pPr>
              <w:ind w:left="220"/>
              <w:spacing w:after="0"/>
              <w:rPr>
                <w:sz w:val="20"/>
                <w:szCs w:val="20"/>
                <w:color w:val="auto"/>
              </w:rPr>
            </w:pPr>
            <w:r>
              <w:rPr>
                <w:rFonts w:ascii="Arial" w:cs="Arial" w:eastAsia="Arial" w:hAnsi="Arial"/>
                <w:sz w:val="16"/>
                <w:szCs w:val="16"/>
                <w:color w:val="auto"/>
              </w:rPr>
              <w:t>Other operating income</w:t>
            </w:r>
          </w:p>
        </w:tc>
        <w:tc>
          <w:tcPr>
            <w:tcW w:w="2120" w:type="dxa"/>
            <w:vAlign w:val="bottom"/>
            <w:tcBorders>
              <w:bottom w:val="single" w:sz="8" w:color="auto"/>
            </w:tcBorders>
          </w:tcPr>
          <w:p>
            <w:pPr>
              <w:jc w:val="right"/>
              <w:ind w:right="1968"/>
              <w:spacing w:after="0"/>
              <w:rPr>
                <w:sz w:val="20"/>
                <w:szCs w:val="20"/>
                <w:color w:val="auto"/>
              </w:rPr>
            </w:pPr>
            <w:r>
              <w:rPr>
                <w:rFonts w:ascii="Arial" w:cs="Arial" w:eastAsia="Arial" w:hAnsi="Arial"/>
                <w:sz w:val="14"/>
                <w:szCs w:val="14"/>
                <w:b w:val="1"/>
                <w:bCs w:val="1"/>
                <w:color w:val="auto"/>
                <w:w w:val="76"/>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80,225</w:t>
            </w:r>
          </w:p>
        </w:tc>
      </w:tr>
      <w:tr>
        <w:trPr>
          <w:trHeight w:val="20"/>
        </w:trPr>
        <w:tc>
          <w:tcPr>
            <w:tcW w:w="6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Hard costs are primarily expenses paid to outside vendors for personal protection equipment, COVID testing for front line workers, and deep cleaning of in-patient facilities. In April 2020, VITAS provided an extra two weeks of paid time off (“PTO”) to all frontline workers.</w:t>
      </w:r>
    </w:p>
    <w:p>
      <w:pPr>
        <w:spacing w:after="0" w:line="1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During the year ended December 31, 2020, VITAS recognized $44.8 million for estimated lost revenue as a result of the pandemic. The December 27, 2020 COVID -19 relief bill gave providers multiple options to calculate lost revenue including budget to actual comparisons, 2019 actual to 2020 actual comparisons, or other systematic methods of calculation. We calculated lost revenue using the budget to actual method. Our 2020 budget was compiled, reviewed and approved prior to the start of the pandemic. Lost revenues for 2020 based on our calculation was $61.4 million, however only $44.8 million was recognized for use under the grant received.</w:t>
      </w:r>
    </w:p>
    <w:p>
      <w:pPr>
        <w:spacing w:after="0" w:line="15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Company recognized $14.0 million of expense in 2021 for COVID-19 related costs. VITAS provided its workers an extra week of paid time off resulting in a $10.0 million charge. The remaining costs are primarily for personal protection equipment.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CASH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equivalents comprise short-term, highly liquid investments, including money market funds that have original maturities of three months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p>
    <w:p>
      <w:pPr>
        <w:spacing w:after="0" w:line="17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of December 31, 2021, and 2020, approximately 73% and 74%, respectively, of VITAS’ total accounts receivable balance were from Medicare and 21% and 20%, respectively, of VITAS’ total accounts receivable balance were due from various state Medicaid or managed Medicaid programs. Combined accounts receivable from Medicare, Medicaid, and managed Medicaid represent approximately 80% of the consolidated net accounts receivable in the accompanying consolidated balance sheets as of December 31, 2021.</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VITAS has a pharmacy services contract with one service provider for specified pharmacy services related to its hospice operations. A large majority of VITAS’ pharmaceutical purchases are from this vendor. The pharmaceuticals purchased by VITAS are available through many providers in the United States. However, a disruption from VITAS’ main service provider could adversely impact VITAS’ operations, including temporary logistical challenges and increased cost associated with getting medication to our patients.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Substantially all of the inventories are either general merchandise or finished goods. Inventories are stated at the lower of cost or net realizable value. For determining the value of inventories, cost methods that reasonably approximate the first-in, first-out (“FIFO”) method are used.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PROPERTIES AND EQUIPMENT</w:t>
      </w:r>
    </w:p>
    <w:p>
      <w:pPr>
        <w:spacing w:after="0" w:line="17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Depreciation of properties and equipment is computed using the straight-line method over the estimated useful lives of the assets. Leasehold improvements are amortized over the lesser of the remaining lease terms (excluding option terms) or their useful lives. Expenditures for maintenance, repairs, renewals and betterments that do not materially prolong the useful lives of the assets are expensed as incurred. The cost of property retired or sold and the related accumulated depreciation are removed from the accounts, and the resulting gain or loss is reflected currently in other operating expense or other income, net.</w:t>
      </w:r>
    </w:p>
    <w:p>
      <w:pPr>
        <w:spacing w:after="0" w:line="15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Expenditures for major software purchases and software developed for internal use are capitalized and depreciated using the straight-line method over the estimated useful lives of the assets. For software developed for internal use, external direct costs for materials and services and certain internal payroll and related fringe benefit costs are capitalized in accordance with the FASB’s authoritative guidance on accounting for the costs of computer software developed or obtained for internal use.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lives of our property and equipment at December 31, 2021, were:</w:t>
      </w:r>
    </w:p>
    <w:p>
      <w:pPr>
        <w:spacing w:after="0" w:line="194"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4080" w:type="dxa"/>
            <w:vAlign w:val="bottom"/>
          </w:tcPr>
          <w:p>
            <w:pPr>
              <w:jc w:val="right"/>
              <w:spacing w:after="0"/>
              <w:rPr>
                <w:sz w:val="20"/>
                <w:szCs w:val="20"/>
                <w:color w:val="auto"/>
              </w:rPr>
            </w:pPr>
            <w:r>
              <w:rPr>
                <w:rFonts w:ascii="Arial" w:cs="Arial" w:eastAsia="Arial" w:hAnsi="Arial"/>
                <w:sz w:val="16"/>
                <w:szCs w:val="16"/>
                <w:color w:val="auto"/>
              </w:rPr>
              <w:t>14.8 yrs.</w:t>
            </w:r>
          </w:p>
        </w:tc>
      </w:tr>
      <w:tr>
        <w:trPr>
          <w:trHeight w:val="162"/>
        </w:trPr>
        <w:tc>
          <w:tcPr>
            <w:tcW w:w="5960" w:type="dxa"/>
            <w:vAlign w:val="bottom"/>
          </w:tcPr>
          <w:p>
            <w:pPr>
              <w:spacing w:after="0" w:line="162" w:lineRule="exact"/>
              <w:rPr>
                <w:sz w:val="20"/>
                <w:szCs w:val="20"/>
                <w:color w:val="auto"/>
              </w:rPr>
            </w:pPr>
            <w:r>
              <w:rPr>
                <w:rFonts w:ascii="Arial" w:cs="Arial" w:eastAsia="Arial" w:hAnsi="Arial"/>
                <w:sz w:val="16"/>
                <w:szCs w:val="16"/>
                <w:color w:val="auto"/>
              </w:rPr>
              <w:t>Transportation equipment</w:t>
            </w:r>
          </w:p>
        </w:tc>
        <w:tc>
          <w:tcPr>
            <w:tcW w:w="408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9.3</w:t>
            </w:r>
          </w:p>
        </w:tc>
      </w:tr>
      <w:tr>
        <w:trPr>
          <w:trHeight w:val="162"/>
        </w:trPr>
        <w:tc>
          <w:tcPr>
            <w:tcW w:w="5960" w:type="dxa"/>
            <w:vAlign w:val="bottom"/>
          </w:tcPr>
          <w:p>
            <w:pPr>
              <w:spacing w:after="0" w:line="162" w:lineRule="exact"/>
              <w:rPr>
                <w:sz w:val="20"/>
                <w:szCs w:val="20"/>
                <w:color w:val="auto"/>
              </w:rPr>
            </w:pPr>
            <w:r>
              <w:rPr>
                <w:rFonts w:ascii="Arial" w:cs="Arial" w:eastAsia="Arial" w:hAnsi="Arial"/>
                <w:sz w:val="16"/>
                <w:szCs w:val="16"/>
                <w:color w:val="auto"/>
              </w:rPr>
              <w:t>Machinery and equipment</w:t>
            </w:r>
          </w:p>
        </w:tc>
        <w:tc>
          <w:tcPr>
            <w:tcW w:w="408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5.1</w:t>
            </w:r>
          </w:p>
        </w:tc>
      </w:tr>
      <w:tr>
        <w:trPr>
          <w:trHeight w:val="162"/>
        </w:trPr>
        <w:tc>
          <w:tcPr>
            <w:tcW w:w="5960" w:type="dxa"/>
            <w:vAlign w:val="bottom"/>
          </w:tcPr>
          <w:p>
            <w:pPr>
              <w:spacing w:after="0" w:line="162" w:lineRule="exact"/>
              <w:rPr>
                <w:sz w:val="20"/>
                <w:szCs w:val="20"/>
                <w:color w:val="auto"/>
              </w:rPr>
            </w:pPr>
            <w:r>
              <w:rPr>
                <w:rFonts w:ascii="Arial" w:cs="Arial" w:eastAsia="Arial" w:hAnsi="Arial"/>
                <w:sz w:val="16"/>
                <w:szCs w:val="16"/>
                <w:color w:val="auto"/>
              </w:rPr>
              <w:t>Computer software</w:t>
            </w:r>
          </w:p>
        </w:tc>
        <w:tc>
          <w:tcPr>
            <w:tcW w:w="408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3.8</w:t>
            </w: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4080" w:type="dxa"/>
            <w:vAlign w:val="bottom"/>
          </w:tcPr>
          <w:p>
            <w:pPr>
              <w:jc w:val="right"/>
              <w:ind w:right="199"/>
              <w:spacing w:after="0"/>
              <w:rPr>
                <w:sz w:val="20"/>
                <w:szCs w:val="20"/>
                <w:color w:val="auto"/>
              </w:rPr>
            </w:pPr>
            <w:r>
              <w:rPr>
                <w:rFonts w:ascii="Arial" w:cs="Arial" w:eastAsia="Arial" w:hAnsi="Arial"/>
                <w:sz w:val="16"/>
                <w:szCs w:val="16"/>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i w:val="1"/>
                <w:iCs w:val="1"/>
                <w:color w:val="auto"/>
              </w:rPr>
              <w:t>GOODWILL AND INTANGIBLE ASSETS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80" w:type="dxa"/>
            <w:vAlign w:val="bottom"/>
          </w:tcPr>
          <w:p>
            <w:pPr>
              <w:ind w:left="980"/>
              <w:spacing w:after="0"/>
              <w:rPr>
                <w:sz w:val="20"/>
                <w:szCs w:val="20"/>
                <w:color w:val="auto"/>
              </w:rPr>
            </w:pPr>
            <w:r>
              <w:rPr>
                <w:rFonts w:ascii="Arial" w:cs="Arial" w:eastAsia="Arial" w:hAnsi="Arial"/>
                <w:sz w:val="18"/>
                <w:szCs w:val="18"/>
                <w:color w:val="auto"/>
              </w:rPr>
              <w:t>The table below shows a rollforward of Goodwill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Roto-</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480" w:type="dxa"/>
            <w:vAlign w:val="bottom"/>
            <w:vMerge w:val="restart"/>
          </w:tcPr>
          <w:p>
            <w:pPr>
              <w:ind w:left="340"/>
              <w:spacing w:after="0"/>
              <w:rPr>
                <w:sz w:val="20"/>
                <w:szCs w:val="20"/>
                <w:color w:val="auto"/>
              </w:rPr>
            </w:pPr>
            <w:r>
              <w:rPr>
                <w:rFonts w:ascii="Arial" w:cs="Arial" w:eastAsia="Arial" w:hAnsi="Arial"/>
                <w:sz w:val="18"/>
                <w:szCs w:val="18"/>
                <w:color w:val="auto"/>
              </w:rPr>
              <w:t>Balance at December 31, 2019</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Vitas</w:t>
            </w:r>
          </w:p>
        </w:tc>
        <w:tc>
          <w:tcPr>
            <w:tcW w:w="28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Rooter</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333,331</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244,036</w:t>
            </w: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577,367</w:t>
            </w:r>
          </w:p>
        </w:tc>
        <w:tc>
          <w:tcPr>
            <w:tcW w:w="0" w:type="dxa"/>
            <w:vAlign w:val="bottom"/>
          </w:tcPr>
          <w:p>
            <w:pPr>
              <w:spacing w:after="0"/>
              <w:rPr>
                <w:sz w:val="1"/>
                <w:szCs w:val="1"/>
                <w:color w:val="auto"/>
              </w:rPr>
            </w:pPr>
          </w:p>
        </w:tc>
      </w:tr>
      <w:tr>
        <w:trPr>
          <w:trHeight w:val="229"/>
        </w:trPr>
        <w:tc>
          <w:tcPr>
            <w:tcW w:w="6480" w:type="dxa"/>
            <w:vAlign w:val="bottom"/>
          </w:tcPr>
          <w:p>
            <w:pPr>
              <w:ind w:left="560"/>
              <w:spacing w:after="0"/>
              <w:rPr>
                <w:sz w:val="20"/>
                <w:szCs w:val="20"/>
                <w:color w:val="auto"/>
              </w:rPr>
            </w:pPr>
            <w:r>
              <w:rPr>
                <w:rFonts w:ascii="Arial" w:cs="Arial" w:eastAsia="Arial" w:hAnsi="Arial"/>
                <w:sz w:val="18"/>
                <w:szCs w:val="18"/>
                <w:color w:val="auto"/>
              </w:rPr>
              <w:t>Business combinations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7"/>
        </w:trPr>
        <w:tc>
          <w:tcPr>
            <w:tcW w:w="6480" w:type="dxa"/>
            <w:vAlign w:val="bottom"/>
          </w:tcPr>
          <w:p>
            <w:pPr>
              <w:ind w:left="560"/>
              <w:spacing w:after="0"/>
              <w:rPr>
                <w:sz w:val="20"/>
                <w:szCs w:val="20"/>
                <w:color w:val="auto"/>
              </w:rPr>
            </w:pPr>
            <w:r>
              <w:rPr>
                <w:rFonts w:ascii="Arial" w:cs="Arial" w:eastAsia="Arial" w:hAnsi="Arial"/>
                <w:sz w:val="18"/>
                <w:szCs w:val="18"/>
                <w:color w:val="auto"/>
              </w:rPr>
              <w:t>Foreign currency adjustments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6480" w:type="dxa"/>
            <w:vAlign w:val="bottom"/>
          </w:tcPr>
          <w:p>
            <w:pPr>
              <w:ind w:left="340"/>
              <w:spacing w:after="0"/>
              <w:rPr>
                <w:sz w:val="20"/>
                <w:szCs w:val="20"/>
                <w:color w:val="auto"/>
              </w:rPr>
            </w:pPr>
            <w:r>
              <w:rPr>
                <w:rFonts w:ascii="Arial" w:cs="Arial" w:eastAsia="Arial" w:hAnsi="Arial"/>
                <w:sz w:val="18"/>
                <w:szCs w:val="18"/>
                <w:color w:val="auto"/>
              </w:rPr>
              <w:t>Balance at December 31, 2020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333,331</w:t>
            </w:r>
          </w:p>
        </w:tc>
        <w:tc>
          <w:tcPr>
            <w:tcW w:w="2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245,254</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578,585</w:t>
            </w:r>
          </w:p>
        </w:tc>
        <w:tc>
          <w:tcPr>
            <w:tcW w:w="0" w:type="dxa"/>
            <w:vAlign w:val="bottom"/>
          </w:tcPr>
          <w:p>
            <w:pPr>
              <w:spacing w:after="0"/>
              <w:rPr>
                <w:sz w:val="1"/>
                <w:szCs w:val="1"/>
                <w:color w:val="auto"/>
              </w:rPr>
            </w:pPr>
          </w:p>
        </w:tc>
      </w:tr>
      <w:tr>
        <w:trPr>
          <w:trHeight w:val="217"/>
        </w:trPr>
        <w:tc>
          <w:tcPr>
            <w:tcW w:w="6480" w:type="dxa"/>
            <w:vAlign w:val="bottom"/>
          </w:tcPr>
          <w:p>
            <w:pPr>
              <w:ind w:left="560"/>
              <w:spacing w:after="0"/>
              <w:rPr>
                <w:sz w:val="20"/>
                <w:szCs w:val="20"/>
                <w:color w:val="auto"/>
              </w:rPr>
            </w:pPr>
            <w:r>
              <w:rPr>
                <w:rFonts w:ascii="Arial" w:cs="Arial" w:eastAsia="Arial" w:hAnsi="Arial"/>
                <w:sz w:val="18"/>
                <w:szCs w:val="18"/>
                <w:color w:val="auto"/>
              </w:rPr>
              <w:t>Foreign currency adjustments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480" w:type="dxa"/>
            <w:vAlign w:val="bottom"/>
          </w:tcPr>
          <w:p>
            <w:pPr>
              <w:ind w:left="340"/>
              <w:spacing w:after="0" w:line="196" w:lineRule="exact"/>
              <w:rPr>
                <w:sz w:val="20"/>
                <w:szCs w:val="20"/>
                <w:color w:val="auto"/>
              </w:rPr>
            </w:pPr>
            <w:r>
              <w:rPr>
                <w:rFonts w:ascii="Arial" w:cs="Arial" w:eastAsia="Arial" w:hAnsi="Arial"/>
                <w:sz w:val="18"/>
                <w:szCs w:val="18"/>
                <w:color w:val="auto"/>
              </w:rPr>
              <w:t>Balance at December 31, 2021</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333,331</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245,260</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578,591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Identifiable, definite-lived intangible assets arise from purchase business combinations and are amortized using either an accelerated method or the straight-line method over the estimated useful lives of the assets. The selection of an amortization method is based on which method best reflects the economic pattern of usage of the asset. Reacquired franchise rights are amortized over the remaining term of the franchise agreement at the time of acquisition. The weighted average lives of our identifiable, definite-lived intangible assets at December 31, 2021, were:</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5620" w:type="dxa"/>
            <w:vAlign w:val="bottom"/>
          </w:tcPr>
          <w:p>
            <w:pPr>
              <w:spacing w:after="0"/>
              <w:rPr>
                <w:sz w:val="20"/>
                <w:szCs w:val="20"/>
                <w:color w:val="auto"/>
              </w:rPr>
            </w:pPr>
            <w:r>
              <w:rPr>
                <w:rFonts w:ascii="Arial" w:cs="Arial" w:eastAsia="Arial" w:hAnsi="Arial"/>
                <w:sz w:val="16"/>
                <w:szCs w:val="16"/>
                <w:color w:val="auto"/>
              </w:rPr>
              <w:t>Covenants not to compete</w:t>
            </w:r>
          </w:p>
        </w:tc>
        <w:tc>
          <w:tcPr>
            <w:tcW w:w="4420" w:type="dxa"/>
            <w:vAlign w:val="bottom"/>
          </w:tcPr>
          <w:p>
            <w:pPr>
              <w:jc w:val="right"/>
              <w:spacing w:after="0"/>
              <w:rPr>
                <w:sz w:val="20"/>
                <w:szCs w:val="20"/>
                <w:color w:val="auto"/>
              </w:rPr>
            </w:pPr>
            <w:r>
              <w:rPr>
                <w:rFonts w:ascii="Arial" w:cs="Arial" w:eastAsia="Arial" w:hAnsi="Arial"/>
                <w:sz w:val="16"/>
                <w:szCs w:val="16"/>
                <w:color w:val="auto"/>
              </w:rPr>
              <w:t>6.5 yrs.</w:t>
            </w: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6"/>
                <w:szCs w:val="16"/>
                <w:color w:val="auto"/>
              </w:rPr>
              <w:t>Reacquired franchise rights</w:t>
            </w:r>
          </w:p>
        </w:tc>
        <w:tc>
          <w:tcPr>
            <w:tcW w:w="442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7.4</w:t>
            </w: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6"/>
                <w:szCs w:val="16"/>
                <w:color w:val="auto"/>
              </w:rPr>
              <w:t>Referral networks</w:t>
            </w:r>
          </w:p>
        </w:tc>
        <w:tc>
          <w:tcPr>
            <w:tcW w:w="442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10.0</w:t>
            </w:r>
          </w:p>
        </w:tc>
      </w:tr>
      <w:tr>
        <w:trPr>
          <w:trHeight w:val="206"/>
        </w:trPr>
        <w:tc>
          <w:tcPr>
            <w:tcW w:w="5620" w:type="dxa"/>
            <w:vAlign w:val="bottom"/>
          </w:tcPr>
          <w:p>
            <w:pPr>
              <w:spacing w:after="0"/>
              <w:rPr>
                <w:sz w:val="20"/>
                <w:szCs w:val="20"/>
                <w:color w:val="auto"/>
              </w:rPr>
            </w:pPr>
            <w:r>
              <w:rPr>
                <w:rFonts w:ascii="Arial" w:cs="Arial" w:eastAsia="Arial" w:hAnsi="Arial"/>
                <w:sz w:val="16"/>
                <w:szCs w:val="16"/>
                <w:color w:val="auto"/>
              </w:rPr>
              <w:t>Customer lists</w:t>
            </w:r>
          </w:p>
        </w:tc>
        <w:tc>
          <w:tcPr>
            <w:tcW w:w="4420" w:type="dxa"/>
            <w:vAlign w:val="bottom"/>
          </w:tcPr>
          <w:p>
            <w:pPr>
              <w:jc w:val="right"/>
              <w:ind w:right="199"/>
              <w:spacing w:after="0"/>
              <w:rPr>
                <w:sz w:val="20"/>
                <w:szCs w:val="20"/>
                <w:color w:val="auto"/>
              </w:rPr>
            </w:pPr>
            <w:r>
              <w:rPr>
                <w:rFonts w:ascii="Arial" w:cs="Arial" w:eastAsia="Arial" w:hAnsi="Arial"/>
                <w:sz w:val="16"/>
                <w:szCs w:val="16"/>
                <w:color w:val="auto"/>
              </w:rPr>
              <w:t>16.8</w:t>
            </w:r>
          </w:p>
        </w:tc>
      </w:tr>
    </w:tbl>
    <w:p>
      <w:pPr>
        <w:spacing w:after="0" w:line="14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date of our annual goodwill and indefinite-lived intangible asset impairment analysis is October 1. The VITAS trade name is considered to have an indefinite life. We also capitalize the direct costs of obtaining licenses to operate either hospice programs or plumbing operations subject to a minimum capitalization threshold. These costs are amortized over the life of the license using the straight-line method. Certificates of Need (“CON”), which are required in certain states for hospice operations, are generally granted without expiration and thus, we believe them to be indefinite-lived assets subject to impairment testing.</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consider that Roto-Rooter Corp. (“RRC”), Roto-Rooter Services Co. (“RRSC”) and VITAS are appropriate reporting units for testing goodwill impairment. We consider RRC and RRSC separate reporting units but one operating segment. This is appropriate as they each have their own set of general ledger accounts that can be analyzed at “one level below an operating segment” per the definition of a reporting unit in FASB guidance.</w:t>
      </w:r>
    </w:p>
    <w:p>
      <w:pPr>
        <w:spacing w:after="0" w:line="121"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We completed our qualitative analysis for impairment of goodwill and our indefinite-lived intangible assets as of October 1, 2021. Based on our assessment, we do not believe that it is more likely than not that our reporting units or indefinite-lived assets fair values are less than their carrying values.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7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If we believe a triggering event may have occurred that indicates a possible impairment of our long-lived assets, we perform an estimate and valuation of the future benefits of our long-lived assets (other than goodwill, the VITAS trade name and capitalized CON costs) based on key financial indicators. If the projected undiscounted cash flows of a major business unit indicate that properties and equipment or identifiable, definite-lived intangible assets’ have been impaired, a write-down to fair value is made.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February 2016, the FASB issued Accounting Standards Update “ASU No. 2016-02 Leases” which introduced a lessee model that brings most leases onto the balance sheet and updates lessor accounting to align with changes in the lessee model and the revenue recognition standard. This standard is also referred to as Accountings Standards Codification No.842 (“ASC 842”).</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Our leases have remaining terms of less than 1 year to 10 years, some of which include options to extend the lease for up to 5 years, and some of which include options to terminate the lease within 1 year. We made a policy election to exclude leases with a lease term less than 12 month from being recorded on the balance sheet. We adopted the practical expedient related to the combining of lease and non-lease components, which allows us to account for the lease and non-lease components as a single lease component. We do not currently have any finance leases, all lease information disclosed is related to operating leases.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jc w:val="both"/>
        <w:ind w:firstLine="648"/>
        <w:spacing w:after="0" w:line="235" w:lineRule="auto"/>
        <w:rPr>
          <w:sz w:val="20"/>
          <w:szCs w:val="20"/>
          <w:color w:val="auto"/>
        </w:rPr>
      </w:pPr>
      <w:r>
        <w:rPr>
          <w:rFonts w:ascii="Arial" w:cs="Arial" w:eastAsia="Arial" w:hAnsi="Arial"/>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Roto-Rooter purchases equipment and leases it to certain of its independent contractors. We analyzed these leases in accordance with ASC 842 and determined they are operating leases. As a result, Roto-Rooter will continue to capitalize the equipment underlying these leases, depreciate the equipment and recognize rental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w:t>
      </w:r>
    </w:p>
    <w:p>
      <w:pPr>
        <w:spacing w:after="0" w:line="17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As of December 31, 2021, Roto-Rooter has three cloud computing arrangements that are service contracts. We have capitalized $332,000 related to these projects. During 2021, Roto-Rooter implemented a system to assist in technician dispatch which was placed into service during the second quarter of 2021. For the year ended December 31, 2021, $94,000 has been amortized. The two other projects consist of the development of a single source data warehouse and human resource system integration with our enterprise software. No amortization has been recorded for these two projects as they have not been placed into service.</w:t>
      </w:r>
    </w:p>
    <w:p>
      <w:pPr>
        <w:spacing w:after="0" w:line="15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VITAS utilizes a human resource system that is considered a cloud computing arrangement. We have capitalized approximately $8.7 million related to implementation of this project which are included in prepaid assets in the accompanying balance sheets. VITAS human resource system was placed into service in January 2020 and is being amortized over 5 years. For the years ended December 31, 2021 and 2020, $995,000 and $1.1 million, respectively, has been amortized.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71"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Debt issuance costs are included in other assets. Issuance costs related to revolving credit agreements are amortized using the straight-line method, over the life of the agreement. All other issuance costs are amortized using the effective interest method over the life of the debt. There are no amounts included in other assets that individually exceed 5% of total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Roto-Rooter segment collects sales tax from customers when required by state and federal laws. We record the amount of sales tax collected net in the accompanying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Cost of services provided and goods sold (excluding depreciation) includes salaries, wages and benefits of service providers and field personnel, material costs, medical supplies and equipment, pharmaceuticals, insurance costs, service vehicle costs and other expenses directly related to providing service revenues or generating sales. Selling, general and administrative expenses include salaries, wages, stock-based compensation expense and benefits of selling, marketing and administrative employees, advertising expenses, communications and branch telephone expenses, office rent and operating costs, legal, banking and professional fees and other administrative costs. The cost associated with VITAS sales personnel is included in cost of services provided and goods sold (excluding depreciation).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expense the production costs of advertising the first time the advertising takes place. We pay for and expense the cost of internet advertising and placement on a “per click” basis. Similarly, the majority of our telephone directory listings and certain types of internet advertising are paid for and expensed on a “cost per call” basis. For those directories that are not on this billing basis, the cost of the directory is expensed when the directories are placed in circulation. Advertising expense for the year ended December 31, 2021, was $62.1 million (2020 – $54.4. million; 2019 - $49.5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LIABILITIES</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There are no amounts included in other current liabilities that individually exceed 5% of total current liabilities, with the exception of the Medicare cap liability, which is discussed further in Note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recognized as expense over the employee’s requisite service period on a straight-line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INSURANCE ACCRUALS</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For our Roto-Rooter segment and Corporate Office, we initially self-insure for all casualty insurance claims (workers’ compensation, auto liability and general liability). As a result, we closely monitor and frequently evaluate our historical claims experience to estimate the appropriate level of accrual for self-insured claims. Our third-party administrator (“TPA”) processes and reviews claims on a monthly basis. Currently, our exposure on any single claim is capped by stop-loss coverage at $750,000. In developing our estimates, we accumulate historical claims data for the previous 10 years to calculate loss development factors (“LDF”) by insurance coverage type. LDFs are applied to known claims to estimate the ultimate potential liability for known and unknown claims for each open policy year. LDFs are updated annually. Because this methodology relies heavily on historical claims data, the key risk is whether the historical claims are an accurate predictor of future claims exposure. The risk also exists that certain claims have been incurred and not reported on a timely basis. To mitigate these risks, in conjunction with our TPA, we closely monitor claims to ensure timely accumulation of data and compare claims trends with the industry experience of our TPA.</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For the VITAS segment, we initially self-insure for workers’ compensation claims. Currently, VITAS’ exposure on any single claim is capped by stop-loss coverage at $1,000,000. For VITAS’ self-insurance accruals for workers’ compensation, the valuation methods used are similar to those used internally for our other business units. We are also insured for other risks with respect to professional liability with a deductible of $1,000,000.</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casualty insurance liabilities are recorded gross before any estimated recovery for amounts exceeding our stop loss limits. Estimated recoveries from insurance carriers are recorded as accounts receivable. Claims experience adjustments to our casualty and workers’ compensation accrual for the years ended December 31, 2021, 2020 and 2019, were net pretax credits of ($6,332,000), ($4,578,000), and ($1,664,000)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December 2019, the FASB issued Accounting Standards Update “ASU No. 2019-12 – Simplifying the Accounting for Income Taxes”. The ASU adds new guidance to simplify accounting for income taxes, changes the accounting for certain income tax transactions and makes minor improvements to the codifications. The ASU is effective for the Company on January 1, 2021. There were no material impacts from adoption of this ASU.</w:t>
      </w:r>
    </w:p>
    <w:p>
      <w:pPr>
        <w:spacing w:after="0" w:line="12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Deferred taxes are provided on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 of assets and liabilities and their tax basis. Deferred tax assets are reduced by a valuation allowance when, in our opinion, it is more likely than not that some portion or all of the deferred tax assets will not be realized due to insufficient taxable income within the carryback or carryforward period available under the tax laws. Deferred tax assets and liabilities are adjusted for the effects of changes in law and rates on the date of enactment.</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are subject to income taxes in Canada, U.S. federal and most state jurisdictions. Judgement is required to determine our provision for income taxes. Our financial statements reflect expected future tax consequences of such uncertain positions assuming the taxing authorities’ full knowledge of the position and all relevant facts.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effective income tax rate was 23.3%, 19.3% and 15.9% for the years ended December 31, 2021, 2020, and 2019, respectively. Excess tax benefit on stock options reduced our income tax expenses by $9.9 million, $26.1 million, and $24.2 million for the years ended December 31, 2021, 2020 and 2019,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7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As discussed in Note 17, 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reasonably estimable. We record legal fees associated with legal and regulatory actions as the costs are incurred. We disclose material loss contingencies that are probable but not reasonably estimable and those that are at least reasonably possible.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 models, primarily the income approach. The significant assumptions used in developing fair values include, but are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jc w:val="both"/>
        <w:spacing w:after="0" w:line="275" w:lineRule="auto"/>
        <w:rPr>
          <w:sz w:val="20"/>
          <w:szCs w:val="20"/>
          <w:color w:val="auto"/>
        </w:rPr>
      </w:pPr>
      <w:r>
        <w:rPr>
          <w:rFonts w:ascii="Arial" w:cs="Arial" w:eastAsia="Arial" w:hAnsi="Arial"/>
          <w:sz w:val="17"/>
          <w:szCs w:val="17"/>
          <w:color w:val="auto"/>
        </w:rPr>
        <w:t>not limited to, revenue growth rates, the amount and timing of future cash flows, discount rates, useful lives, royalty rates and future tax rates. The excess of purchase price over the fair value of assets and liabilities acquired is recorded as goodwill. See Note 7 for discussion of recent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us to make estimates and assumptions that affect amounts reported in the consolidated financial statements and accompanying notes. Actual results could differ from those estimates.</w:t>
      </w:r>
    </w:p>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 Recognition</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May 2014, the FASB issued Accounting Standards Update “ASU No. 2014-09 – Revenue from Contracts with Customers.” The standard and subsequent amendments are theoretically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 606”).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VITAS</w:t>
      </w:r>
    </w:p>
    <w:p>
      <w:pPr>
        <w:spacing w:after="0" w:line="17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includes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spacing w:after="0" w:line="1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Hospice services are provided on a daily basis and the type of service provided is determined based on a physician’s determination of each patient’s specific needs on that given day. Reimbursement rates for hospice services are on a per diem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14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i w:val="1"/>
          <w:iCs w:val="1"/>
          <w:color w:val="auto"/>
        </w:rPr>
        <w:t xml:space="preserve">Routine Home Care </w:t>
      </w:r>
      <w:r>
        <w:rPr>
          <w:rFonts w:ascii="Arial" w:cs="Arial" w:eastAsia="Arial" w:hAnsi="Arial"/>
          <w:sz w:val="18"/>
          <w:szCs w:val="18"/>
          <w:color w:val="auto"/>
        </w:rPr>
        <w:t>occurs when a patient receives hospice care in their home, including a nursing home setting. The routine home care rate is</w:t>
      </w:r>
      <w:r>
        <w:rPr>
          <w:rFonts w:ascii="Arial" w:cs="Arial" w:eastAsia="Arial" w:hAnsi="Arial"/>
          <w:sz w:val="18"/>
          <w:szCs w:val="18"/>
          <w:i w:val="1"/>
          <w:iCs w:val="1"/>
          <w:color w:val="auto"/>
        </w:rPr>
        <w:t xml:space="preserve"> </w:t>
      </w:r>
      <w:r>
        <w:rPr>
          <w:rFonts w:ascii="Arial" w:cs="Arial" w:eastAsia="Arial" w:hAnsi="Arial"/>
          <w:sz w:val="18"/>
          <w:szCs w:val="18"/>
          <w:color w:val="auto"/>
        </w:rPr>
        <w:t>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148" w:lineRule="exact"/>
        <w:rPr>
          <w:sz w:val="20"/>
          <w:szCs w:val="20"/>
          <w:color w:val="auto"/>
        </w:rPr>
      </w:pPr>
    </w:p>
    <w:p>
      <w:pPr>
        <w:jc w:val="both"/>
        <w:ind w:left="660"/>
        <w:spacing w:after="0" w:line="253" w:lineRule="auto"/>
        <w:rPr>
          <w:sz w:val="20"/>
          <w:szCs w:val="20"/>
          <w:color w:val="auto"/>
        </w:rPr>
      </w:pPr>
      <w:r>
        <w:rPr>
          <w:rFonts w:ascii="Arial" w:cs="Arial" w:eastAsia="Arial" w:hAnsi="Arial"/>
          <w:sz w:val="17"/>
          <w:szCs w:val="17"/>
          <w:i w:val="1"/>
          <w:iCs w:val="1"/>
          <w:color w:val="auto"/>
        </w:rPr>
        <w:t xml:space="preserve">General Inpatient Care </w:t>
      </w:r>
      <w:r>
        <w:rPr>
          <w:rFonts w:ascii="Arial" w:cs="Arial" w:eastAsia="Arial" w:hAnsi="Arial"/>
          <w:sz w:val="17"/>
          <w:szCs w:val="17"/>
          <w:color w:val="auto"/>
        </w:rPr>
        <w:t>occurs when a patient requires services in a controlled setting for a short period of time for pain control or symptom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management which cannot be managed in other settings. General inpatient care services must be provided in a Medicare or </w:t>
      </w:r>
      <w:r>
        <w:rPr>
          <w:rFonts w:ascii="Arial" w:cs="Arial" w:eastAsia="Arial" w:hAnsi="Arial"/>
          <w:sz w:val="17"/>
          <w:szCs w:val="17"/>
          <w:i w:val="1"/>
          <w:iCs w:val="1"/>
          <w:color w:val="auto"/>
        </w:rPr>
        <w:t>Medicaid</w:t>
      </w:r>
      <w:r>
        <w:rPr>
          <w:rFonts w:ascii="Arial" w:cs="Arial" w:eastAsia="Arial" w:hAnsi="Arial"/>
          <w:sz w:val="17"/>
          <w:szCs w:val="17"/>
          <w:color w:val="auto"/>
        </w:rPr>
        <w:t xml:space="preserve"> certified hospital or long-term care facility or at a freestanding inpatient hospice facility with the required registered nurse staffing.</w:t>
      </w:r>
    </w:p>
    <w:p>
      <w:pPr>
        <w:spacing w:after="0" w:line="138" w:lineRule="exact"/>
        <w:rPr>
          <w:sz w:val="20"/>
          <w:szCs w:val="20"/>
          <w:color w:val="auto"/>
        </w:rPr>
      </w:pPr>
    </w:p>
    <w:p>
      <w:pPr>
        <w:jc w:val="both"/>
        <w:ind w:left="660"/>
        <w:spacing w:after="0" w:line="242" w:lineRule="auto"/>
        <w:rPr>
          <w:sz w:val="20"/>
          <w:szCs w:val="20"/>
          <w:color w:val="auto"/>
        </w:rPr>
      </w:pPr>
      <w:r>
        <w:rPr>
          <w:rFonts w:ascii="Arial" w:cs="Arial" w:eastAsia="Arial" w:hAnsi="Arial"/>
          <w:sz w:val="17"/>
          <w:szCs w:val="17"/>
          <w:i w:val="1"/>
          <w:iCs w:val="1"/>
          <w:color w:val="auto"/>
        </w:rPr>
        <w:t xml:space="preserve">Continuous Home Care </w:t>
      </w:r>
      <w:r>
        <w:rPr>
          <w:rFonts w:ascii="Arial" w:cs="Arial" w:eastAsia="Arial" w:hAnsi="Arial"/>
          <w:sz w:val="17"/>
          <w:szCs w:val="17"/>
          <w:color w:val="auto"/>
        </w:rPr>
        <w:t>is provided to patients while at home, including a nursing home setting, during periods of crisis when intensive monitoring</w:t>
      </w:r>
      <w:r>
        <w:rPr>
          <w:rFonts w:ascii="Arial" w:cs="Arial" w:eastAsia="Arial" w:hAnsi="Arial"/>
          <w:sz w:val="17"/>
          <w:szCs w:val="17"/>
          <w:i w:val="1"/>
          <w:iCs w:val="1"/>
          <w:color w:val="auto"/>
        </w:rPr>
        <w:t xml:space="preserve"> </w:t>
      </w:r>
      <w:r>
        <w:rPr>
          <w:rFonts w:ascii="Arial" w:cs="Arial" w:eastAsia="Arial" w:hAnsi="Arial"/>
          <w:sz w:val="17"/>
          <w:szCs w:val="17"/>
          <w:color w:val="auto"/>
        </w:rPr>
        <w:t>and care, primarily nursing care, is required in order to achieve palliation or management of acute medical symptoms. Continuous home care requires a minimum of 8 hours of care within a 24 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148"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i w:val="1"/>
          <w:iCs w:val="1"/>
          <w:color w:val="auto"/>
        </w:rPr>
        <w:t xml:space="preserve">Respite Care </w:t>
      </w:r>
      <w:r>
        <w:rPr>
          <w:rFonts w:ascii="Arial" w:cs="Arial" w:eastAsia="Arial" w:hAnsi="Arial"/>
          <w:sz w:val="18"/>
          <w:szCs w:val="18"/>
          <w:color w:val="auto"/>
        </w:rPr>
        <w:t>permits a hospice patient to receive services on an inpatient basis for a short period of time in order to provide relief for the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both"/>
        <w:spacing w:after="0" w:line="237" w:lineRule="auto"/>
        <w:rPr>
          <w:sz w:val="20"/>
          <w:szCs w:val="20"/>
          <w:color w:val="auto"/>
        </w:rPr>
      </w:pPr>
      <w:r>
        <w:rPr>
          <w:rFonts w:ascii="Arial" w:cs="Arial" w:eastAsia="Arial" w:hAnsi="Arial"/>
          <w:sz w:val="17"/>
          <w:szCs w:val="17"/>
          <w:color w:val="auto"/>
        </w:rPr>
        <w:t>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 months after discharge.</w:t>
      </w:r>
    </w:p>
    <w:p>
      <w:pPr>
        <w:spacing w:after="0" w:line="15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during the years ended December 31, 2021, 2020 and 2019, was $8.5 million, $8.1 million and $9.0 million, respectively and is included in cost of services provided and goods sold. The cost of charity care is calculated by taking the ratio of charity care days to total days of care and multiplying by total cost of care.</w:t>
      </w:r>
    </w:p>
    <w:p>
      <w:pPr>
        <w:spacing w:after="0" w:line="1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spacing w:after="0" w:line="150"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Laws and regulations concerning government programs, including Medicare and Medicaid, are complex and subject to varying interpretation. Compliance with such laws and regulations may be subject to future government review and interpretation.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certain limitations on Medicare payments for services which are considered variable consideration, as follows:</w:t>
      </w:r>
    </w:p>
    <w:p>
      <w:pPr>
        <w:spacing w:after="0" w:line="171"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i w:val="1"/>
          <w:iCs w:val="1"/>
          <w:color w:val="auto"/>
        </w:rPr>
        <w:t>Inpatient Cap</w:t>
      </w:r>
      <w:r>
        <w:rPr>
          <w:rFonts w:ascii="Arial" w:cs="Arial" w:eastAsia="Arial" w:hAnsi="Arial"/>
          <w:sz w:val="18"/>
          <w:szCs w:val="18"/>
          <w:color w:val="auto"/>
        </w:rPr>
        <w:t>. If the number of inpatient care days any hospice program provides to Medicare beneficiaries exceeds 20% of the total days of</w:t>
      </w:r>
      <w:r>
        <w:rPr>
          <w:rFonts w:ascii="Arial" w:cs="Arial" w:eastAsia="Arial" w:hAnsi="Arial"/>
          <w:sz w:val="18"/>
          <w:szCs w:val="18"/>
          <w:i w:val="1"/>
          <w:iCs w:val="1"/>
          <w:color w:val="auto"/>
        </w:rPr>
        <w:t xml:space="preserve"> </w:t>
      </w:r>
      <w:r>
        <w:rPr>
          <w:rFonts w:ascii="Arial" w:cs="Arial" w:eastAsia="Arial" w:hAnsi="Arial"/>
          <w:sz w:val="18"/>
          <w:szCs w:val="18"/>
          <w:color w:val="auto"/>
        </w:rPr>
        <w:t>hospice care such program provided to all Medicare patients for an annual period beginning September 28, the days in excess of the 20% figure may be reimbursed only at the routine homecare rate. None of VITAS’ hospice programs exceeded the payment limits on inpatient services during the years ended December 31, 2021, 2020 and 2019.</w:t>
      </w:r>
    </w:p>
    <w:p>
      <w:pPr>
        <w:spacing w:after="0" w:line="14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i w:val="1"/>
          <w:iCs w:val="1"/>
          <w:color w:val="auto"/>
        </w:rPr>
        <w:t>Medicare Cap</w:t>
      </w:r>
      <w:r>
        <w:rPr>
          <w:rFonts w:ascii="Arial" w:cs="Arial" w:eastAsia="Arial" w:hAnsi="Arial"/>
          <w:sz w:val="18"/>
          <w:szCs w:val="18"/>
          <w:color w:val="auto"/>
        </w:rPr>
        <w:t>. We are also subject to a Medicare annual per-beneficiary cap (“Medicare cap”). Compliance with the Medicare cap is measured in</w:t>
      </w:r>
      <w:r>
        <w:rPr>
          <w:rFonts w:ascii="Arial" w:cs="Arial" w:eastAsia="Arial" w:hAnsi="Arial"/>
          <w:sz w:val="18"/>
          <w:szCs w:val="18"/>
          <w:i w:val="1"/>
          <w:iCs w:val="1"/>
          <w:color w:val="auto"/>
        </w:rPr>
        <w:t xml:space="preserve"> </w:t>
      </w:r>
      <w:r>
        <w:rPr>
          <w:rFonts w:ascii="Arial" w:cs="Arial" w:eastAsia="Arial" w:hAnsi="Arial"/>
          <w:sz w:val="18"/>
          <w:szCs w:val="18"/>
          <w:color w:val="auto"/>
        </w:rPr>
        <w:t>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December 31, 2021, all our programs except one are using the “streamlined” method.</w:t>
      </w:r>
    </w:p>
    <w:p>
      <w:pPr>
        <w:spacing w:after="0" w:line="14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ind w:left="660"/>
        <w:spacing w:after="0" w:line="258" w:lineRule="auto"/>
        <w:rPr>
          <w:sz w:val="20"/>
          <w:szCs w:val="20"/>
          <w:color w:val="auto"/>
        </w:rPr>
      </w:pPr>
      <w:r>
        <w:rPr>
          <w:rFonts w:ascii="Arial" w:cs="Arial" w:eastAsia="Arial" w:hAnsi="Arial"/>
          <w:sz w:val="16"/>
          <w:szCs w:val="16"/>
          <w:color w:val="auto"/>
        </w:rPr>
        <w:t>We actively monitor each of our hospice programs, by provider number, as to their specific admission, discharge rate and median length of stay data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spacing w:after="0" w:line="1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2013, the U.S. government implemented automatic budget reductions of 2.0% for all government payees, including hospice benefits paid under the Medicare program. In 2015, CMS determined that the Medicare cap should be calculated “as if” sequestration did not occur. As a result of this decision, VITAS has received notification from our third-party intermediary that an additional $8.7 million is owed for Medicare cap in three programs arising during the 2013 through 2020 measurement periods. The amounts are automatically deducted from our semi-monthly periodic interim payments (“PIP”). We do not believe that CMS is authorized under the sequestration authority or the statutory methodology for establishing the Medicare cap to the amounts they have withheld and intend to withhold under their current “as if” methodology. We have appealed CMS’s methodology change.</w:t>
      </w:r>
    </w:p>
    <w:p>
      <w:pPr>
        <w:spacing w:after="0" w:line="13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During the year ended December 31, 2021 we recorded $6.6 million in Medicare cap revenue reduction related to two programs’ projected 2021 measurement period liability and two programs’ 2022 measurement period liability.</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During the year ended December 31, 2020 we recorded $6.7 million in Medicare cap revenue reduction related to four programs’ projected 2020 measurement period liability.</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During the year ended December 31, 2019, we recorded $12.4 million in Medicare cap revenue reduction related to four programs’ projected 2020 measurement period liability and four programs’ 2019 measurement period liability.</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At December 31, 2021 and 2020, the Medicare cap liability included in other current liabilities on the accompanying balance sheets was $13.5 million and $15.1 million, respectively.</w:t>
      </w:r>
    </w:p>
    <w:p>
      <w:pPr>
        <w:spacing w:after="0" w:line="1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16"/>
          <w:szCs w:val="16"/>
          <w:color w:val="auto"/>
        </w:rPr>
        <w:t>The composition of patient care service revenue by payor and level of care for the year ended December 31, 2021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Routine home care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Medicare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Medicaid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41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997,846</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46,785</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1,069,766</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Continuous care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85,626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4,689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94,338</w:t>
            </w:r>
          </w:p>
        </w:tc>
        <w:tc>
          <w:tcPr>
            <w:tcW w:w="0" w:type="dxa"/>
            <w:vAlign w:val="bottom"/>
          </w:tcPr>
          <w:p>
            <w:pPr>
              <w:spacing w:after="0"/>
              <w:rPr>
                <w:sz w:val="1"/>
                <w:szCs w:val="1"/>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8"/>
                <w:szCs w:val="18"/>
                <w:b w:val="1"/>
                <w:bCs w:val="1"/>
                <w:color w:val="auto"/>
              </w:rPr>
              <w:t>Inpatient care</w:t>
            </w: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98,243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113,187</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1,181,715</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60,960</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34,616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1,277,291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All other revenue - self-pay, respite care, etc.</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12,142</w:t>
            </w:r>
          </w:p>
        </w:tc>
        <w:tc>
          <w:tcPr>
            <w:tcW w:w="0" w:type="dxa"/>
            <w:vAlign w:val="bottom"/>
          </w:tcPr>
          <w:p>
            <w:pPr>
              <w:spacing w:after="0" w:line="20" w:lineRule="exact"/>
              <w:rPr>
                <w:sz w:val="1"/>
                <w:szCs w:val="1"/>
                <w:color w:val="auto"/>
              </w:rPr>
            </w:pPr>
          </w:p>
        </w:tc>
      </w:tr>
      <w:tr>
        <w:trPr>
          <w:trHeight w:val="413"/>
        </w:trPr>
        <w:tc>
          <w:tcPr>
            <w:tcW w:w="4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20" w:type="dxa"/>
            <w:vAlign w:val="bottom"/>
          </w:tcPr>
          <w:p>
            <w:pPr>
              <w:ind w:left="220"/>
              <w:spacing w:after="0"/>
              <w:rPr>
                <w:sz w:val="20"/>
                <w:szCs w:val="20"/>
                <w:color w:val="auto"/>
              </w:rPr>
            </w:pPr>
            <w:r>
              <w:rPr>
                <w:rFonts w:ascii="Arial" w:cs="Arial" w:eastAsia="Arial" w:hAnsi="Arial"/>
                <w:sz w:val="18"/>
                <w:szCs w:val="18"/>
                <w:b w:val="1"/>
                <w:bCs w:val="1"/>
                <w:color w:val="auto"/>
              </w:rPr>
              <w:t>Subtotal</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1,289,433</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Medicare cap adjustment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(6,597)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Implicit price concessions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(11,530)</w:t>
            </w:r>
          </w:p>
        </w:tc>
        <w:tc>
          <w:tcPr>
            <w:tcW w:w="0" w:type="dxa"/>
            <w:vAlign w:val="bottom"/>
          </w:tcPr>
          <w:p>
            <w:pPr>
              <w:spacing w:after="0"/>
              <w:rPr>
                <w:sz w:val="1"/>
                <w:szCs w:val="1"/>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8"/>
                <w:szCs w:val="18"/>
                <w:b w:val="1"/>
                <w:bCs w:val="1"/>
                <w:color w:val="auto"/>
              </w:rPr>
              <w:t>Room and board, net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(10,060)</w:t>
            </w:r>
          </w:p>
        </w:tc>
        <w:tc>
          <w:tcPr>
            <w:tcW w:w="0" w:type="dxa"/>
            <w:vAlign w:val="bottom"/>
          </w:tcPr>
          <w:p>
            <w:pPr>
              <w:spacing w:after="0"/>
              <w:rPr>
                <w:sz w:val="1"/>
                <w:szCs w:val="1"/>
                <w:color w:val="auto"/>
              </w:rPr>
            </w:pPr>
          </w:p>
        </w:tc>
      </w:tr>
      <w:tr>
        <w:trPr>
          <w:trHeight w:val="196"/>
        </w:trPr>
        <w:tc>
          <w:tcPr>
            <w:tcW w:w="4120" w:type="dxa"/>
            <w:vAlign w:val="bottom"/>
          </w:tcPr>
          <w:p>
            <w:pPr>
              <w:ind w:left="220"/>
              <w:spacing w:after="0" w:line="196" w:lineRule="exact"/>
              <w:rPr>
                <w:sz w:val="20"/>
                <w:szCs w:val="20"/>
                <w:color w:val="auto"/>
              </w:rPr>
            </w:pPr>
            <w:r>
              <w:rPr>
                <w:rFonts w:ascii="Arial" w:cs="Arial" w:eastAsia="Arial" w:hAnsi="Arial"/>
                <w:sz w:val="18"/>
                <w:szCs w:val="18"/>
                <w:b w:val="1"/>
                <w:bCs w:val="1"/>
                <w:color w:val="auto"/>
              </w:rPr>
              <w:t>Net revenue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1,261,246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patient care service revenue by payor and level of care for the year ended December 31, 2020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vMerge w:val="restart"/>
          </w:tcPr>
          <w:p>
            <w:pPr>
              <w:spacing w:after="0"/>
              <w:rPr>
                <w:sz w:val="20"/>
                <w:szCs w:val="20"/>
                <w:color w:val="auto"/>
              </w:rPr>
            </w:pPr>
            <w:r>
              <w:rPr>
                <w:rFonts w:ascii="Arial" w:cs="Arial" w:eastAsia="Arial" w:hAnsi="Arial"/>
                <w:sz w:val="18"/>
                <w:szCs w:val="18"/>
                <w:color w:val="auto"/>
              </w:rPr>
              <w:t>Routine home care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Medicare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Medicaid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1,033,487</w:t>
            </w: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48,813</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1,106,358</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Continuous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123,696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136,011</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Inpatient care</w:t>
            </w: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114,956</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1,257,442</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64,803</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1,357,325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line="20" w:lineRule="exact"/>
              <w:rPr>
                <w:sz w:val="1"/>
                <w:szCs w:val="1"/>
                <w:color w:val="auto"/>
              </w:rPr>
            </w:pPr>
          </w:p>
        </w:tc>
      </w:tr>
      <w:tr>
        <w:trPr>
          <w:trHeight w:val="413"/>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Arial" w:cs="Arial" w:eastAsia="Arial" w:hAnsi="Arial"/>
                <w:sz w:val="18"/>
                <w:szCs w:val="18"/>
                <w:color w:val="auto"/>
              </w:rPr>
              <w:t>Subtotal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1,368,489</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Medicare cap adjustment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Implicit price concessions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(14,970)</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Room and board,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196"/>
        </w:trPr>
        <w:tc>
          <w:tcPr>
            <w:tcW w:w="4040" w:type="dxa"/>
            <w:vAlign w:val="bottom"/>
          </w:tcPr>
          <w:p>
            <w:pPr>
              <w:ind w:left="220"/>
              <w:spacing w:after="0" w:line="196" w:lineRule="exact"/>
              <w:rPr>
                <w:sz w:val="20"/>
                <w:szCs w:val="20"/>
                <w:color w:val="auto"/>
              </w:rPr>
            </w:pPr>
            <w:r>
              <w:rPr>
                <w:rFonts w:ascii="Arial" w:cs="Arial" w:eastAsia="Arial" w:hAnsi="Arial"/>
                <w:sz w:val="18"/>
                <w:szCs w:val="18"/>
                <w:color w:val="auto"/>
              </w:rPr>
              <w:t>Net revenue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1,334,667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patient care service revenue by payor and level of care for the year ended December 31, 2019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vMerge w:val="restart"/>
          </w:tcPr>
          <w:p>
            <w:pPr>
              <w:spacing w:after="0"/>
              <w:rPr>
                <w:sz w:val="20"/>
                <w:szCs w:val="20"/>
                <w:color w:val="auto"/>
              </w:rPr>
            </w:pPr>
            <w:r>
              <w:rPr>
                <w:rFonts w:ascii="Arial" w:cs="Arial" w:eastAsia="Arial" w:hAnsi="Arial"/>
                <w:sz w:val="18"/>
                <w:szCs w:val="18"/>
                <w:color w:val="auto"/>
              </w:rPr>
              <w:t>Routine home care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Medicare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Medicaid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1,003,308</w:t>
            </w: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48,420</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1,076,025</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Continuous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121,019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133,473</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Inpatient care</w:t>
            </w: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99,920</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1,209,079</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64,234</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1,309,418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line="20" w:lineRule="exact"/>
              <w:rPr>
                <w:sz w:val="1"/>
                <w:szCs w:val="1"/>
                <w:color w:val="auto"/>
              </w:rPr>
            </w:pPr>
          </w:p>
        </w:tc>
      </w:tr>
      <w:tr>
        <w:trPr>
          <w:trHeight w:val="413"/>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Arial" w:cs="Arial" w:eastAsia="Arial" w:hAnsi="Arial"/>
                <w:sz w:val="18"/>
                <w:szCs w:val="18"/>
                <w:color w:val="auto"/>
              </w:rPr>
              <w:t>Subtotal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1,319,851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Medicare cap adjustment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Implicit price concessions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(14,893)</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Room and board,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196"/>
        </w:trPr>
        <w:tc>
          <w:tcPr>
            <w:tcW w:w="4040" w:type="dxa"/>
            <w:vAlign w:val="bottom"/>
          </w:tcPr>
          <w:p>
            <w:pPr>
              <w:ind w:left="220"/>
              <w:spacing w:after="0" w:line="196" w:lineRule="exact"/>
              <w:rPr>
                <w:sz w:val="20"/>
                <w:szCs w:val="20"/>
                <w:color w:val="auto"/>
              </w:rPr>
            </w:pPr>
            <w:r>
              <w:rPr>
                <w:rFonts w:ascii="Arial" w:cs="Arial" w:eastAsia="Arial" w:hAnsi="Arial"/>
                <w:sz w:val="18"/>
                <w:szCs w:val="18"/>
                <w:color w:val="auto"/>
              </w:rPr>
              <w:t>Net revenue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1,281,184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auto"/>
        </w:rPr>
        <w:t>Roto-Rooter</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Roto-Rooter provides plumbing, drain cleaning,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144" w:lineRule="exact"/>
        <w:rPr>
          <w:sz w:val="20"/>
          <w:szCs w:val="20"/>
          <w:color w:val="auto"/>
        </w:rPr>
      </w:pPr>
    </w:p>
    <w:p>
      <w:pPr>
        <w:jc w:val="both"/>
        <w:ind w:left="660"/>
        <w:spacing w:after="0" w:line="242" w:lineRule="auto"/>
        <w:rPr>
          <w:sz w:val="20"/>
          <w:szCs w:val="20"/>
          <w:color w:val="auto"/>
        </w:rPr>
      </w:pPr>
      <w:r>
        <w:rPr>
          <w:rFonts w:ascii="Arial" w:cs="Arial" w:eastAsia="Arial" w:hAnsi="Arial"/>
          <w:sz w:val="17"/>
          <w:szCs w:val="17"/>
          <w:i w:val="1"/>
          <w:iCs w:val="1"/>
          <w:color w:val="auto"/>
        </w:rPr>
        <w:t xml:space="preserve">Short-term Core Services </w:t>
      </w:r>
      <w:r>
        <w:rPr>
          <w:rFonts w:ascii="Arial" w:cs="Arial" w:eastAsia="Arial" w:hAnsi="Arial"/>
          <w:sz w:val="17"/>
          <w:szCs w:val="17"/>
          <w:color w:val="auto"/>
        </w:rPr>
        <w:t>are plumbing, drain and sewer cleaning and excavation services. These services are provided to both commercial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customers. The duration of services provided in this category range from a few hours to a few days. There are no significant warranty costs or on-going obligations to the customer once a service has been completed. For residential customers, payment is usually received at the time of job completion before the Roto-Rooter technician leaves the residence. Commercial customers may be granted credit subject to internally designated authority limits and credit check guidelines. If credit is granted, payment terms are generally 30 days or less.</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7"/>
          <w:szCs w:val="17"/>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144" w:lineRule="exact"/>
        <w:rPr>
          <w:sz w:val="20"/>
          <w:szCs w:val="20"/>
          <w:color w:val="auto"/>
        </w:rPr>
      </w:pPr>
    </w:p>
    <w:p>
      <w:pPr>
        <w:jc w:val="both"/>
        <w:ind w:left="660"/>
        <w:spacing w:after="0" w:line="242" w:lineRule="auto"/>
        <w:rPr>
          <w:sz w:val="20"/>
          <w:szCs w:val="20"/>
          <w:color w:val="auto"/>
        </w:rPr>
      </w:pPr>
      <w:r>
        <w:rPr>
          <w:rFonts w:ascii="Arial" w:cs="Arial" w:eastAsia="Arial" w:hAnsi="Arial"/>
          <w:sz w:val="17"/>
          <w:szCs w:val="17"/>
          <w:i w:val="1"/>
          <w:iCs w:val="1"/>
          <w:color w:val="auto"/>
        </w:rPr>
        <w:t xml:space="preserve">Water Restoration Services </w:t>
      </w:r>
      <w:r>
        <w:rPr>
          <w:rFonts w:ascii="Arial" w:cs="Arial" w:eastAsia="Arial" w:hAnsi="Arial"/>
          <w:sz w:val="17"/>
          <w:szCs w:val="17"/>
          <w:color w:val="auto"/>
        </w:rPr>
        <w:t>involve the remediation of water and humidity after a flood. These services are provided to both commercial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customers. The duration of services provided in this category generally ranges from 3 to 5 days. There are no significant warranties or on-going obligations to the customer once service has been completed. The majority of these services are paid in part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pacing w:after="0" w:line="1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Roto-Rooter owns the rights to certain territories and contracts with independent third-parties to operate the territory under Roto-Rooter’s registered trademarks. The contract is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Independent contractors pay Roto-Rooter a standard fee calculated as a percentage of their cash collection from weekly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jc w:val="both"/>
        <w:ind w:firstLine="648"/>
        <w:spacing w:after="0"/>
        <w:rPr>
          <w:sz w:val="20"/>
          <w:szCs w:val="20"/>
          <w:color w:val="auto"/>
        </w:rPr>
      </w:pPr>
      <w:r>
        <w:rPr>
          <w:rFonts w:ascii="Arial" w:cs="Arial" w:eastAsia="Arial" w:hAnsi="Arial"/>
          <w:sz w:val="17"/>
          <w:szCs w:val="17"/>
          <w:color w:val="auto"/>
        </w:rPr>
        <w:t>Roto-Rooter has licensed the rights to operate under Roto-Rooter’s registered trademarks in other territories to franchisees. The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day-to-day management of the business including staffing decisions, pricing of services provided and local advertising spend and placement. All performance obligations of Roto-Rooter cease at the termination of the arrangement.</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for plumbing, drain care cleaning and water restoration services.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disaggregated revenue for the years ended December 31, 2021, 2020 and 2019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vMerge w:val="restart"/>
          </w:tcPr>
          <w:p>
            <w:pPr>
              <w:spacing w:after="0"/>
              <w:rPr>
                <w:sz w:val="20"/>
                <w:szCs w:val="20"/>
                <w:color w:val="auto"/>
              </w:rPr>
            </w:pPr>
            <w:r>
              <w:rPr>
                <w:rFonts w:ascii="Arial" w:cs="Arial" w:eastAsia="Arial" w:hAnsi="Arial"/>
                <w:sz w:val="18"/>
                <w:szCs w:val="18"/>
                <w:color w:val="auto"/>
              </w:rPr>
              <w:t>Short-term core service jobs</w:t>
            </w:r>
          </w:p>
        </w:tc>
        <w:tc>
          <w:tcPr>
            <w:tcW w:w="20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8"/>
        </w:trPr>
        <w:tc>
          <w:tcPr>
            <w:tcW w:w="526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647,152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552,500</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482,625</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Water restoration</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153,115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126,378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115,949</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Contractor revenue</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76,858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64,727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58,086</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Franchise fees</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color w:val="auto"/>
              </w:rPr>
              <w:t>All other</w:t>
            </w: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18"/>
        </w:trPr>
        <w:tc>
          <w:tcPr>
            <w:tcW w:w="52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897,769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762,035</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675,091</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color w:val="auto"/>
              </w:rPr>
              <w:t>Implicit price concessions and credit memos</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(17,119)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(17,720)</w:t>
            </w:r>
          </w:p>
        </w:tc>
        <w:tc>
          <w:tcPr>
            <w:tcW w:w="0" w:type="dxa"/>
            <w:vAlign w:val="bottom"/>
          </w:tcPr>
          <w:p>
            <w:pPr>
              <w:spacing w:after="0"/>
              <w:rPr>
                <w:sz w:val="1"/>
                <w:szCs w:val="1"/>
                <w:color w:val="auto"/>
              </w:rPr>
            </w:pPr>
          </w:p>
        </w:tc>
      </w:tr>
      <w:tr>
        <w:trPr>
          <w:trHeight w:val="196"/>
        </w:trPr>
        <w:tc>
          <w:tcPr>
            <w:tcW w:w="5260" w:type="dxa"/>
            <w:vAlign w:val="bottom"/>
          </w:tcPr>
          <w:p>
            <w:pPr>
              <w:ind w:left="220"/>
              <w:spacing w:after="0" w:line="196" w:lineRule="exact"/>
              <w:rPr>
                <w:sz w:val="20"/>
                <w:szCs w:val="20"/>
                <w:color w:val="auto"/>
              </w:rPr>
            </w:pPr>
            <w:r>
              <w:rPr>
                <w:rFonts w:ascii="Arial" w:cs="Arial" w:eastAsia="Arial" w:hAnsi="Arial"/>
                <w:sz w:val="18"/>
                <w:szCs w:val="18"/>
                <w:color w:val="auto"/>
              </w:rPr>
              <w:t>Net revenue</w:t>
            </w:r>
          </w:p>
        </w:tc>
        <w:tc>
          <w:tcPr>
            <w:tcW w:w="20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878,015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744,916</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657,371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Long-Term Debt and Lines of Credit</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June 20, 2018, we replaced our existing credit agreement with the Fourth Amended and Restated Credit Agreement (“2018 Credit Agreement”). Terms of the 2018 Credit Agreement consist of a five year, $450 million revolving credit facility and a $150 million expansion feature, which may consist of term loans or additional revolving commitments. The 2018 Credit Agreement has a floating interest rate that is generally LIBOR plus a tiered additional rate which varies based on our current leverage ratio. For December 31, 2021 and 2020, respectively, the interest rate is LIBOR plus 100 basis points. The 2018 Credit Agreement includes transition provisions in the instance LIBOR is no longer published or used as an industry-accepted rate. Any amounts outstanding under the 2018 Credit Agreement at its June 20, 2023 maturity date will be immediately due and payable.</w:t>
      </w:r>
    </w:p>
    <w:p>
      <w:pPr>
        <w:spacing w:after="0" w:line="1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Debt issuance costs associated with the prior credit agreement were not written off as the lenders and their relative percentage participation in the facility did not change. With respect to the 2018 Credit Agreement, deferred financing costs were $1.0 million.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w w:val="99"/>
              </w:rPr>
              <w:t>The debt outstanding at December 31, 2021 and 2020 consists of the following (in thousands):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40" w:type="dxa"/>
            <w:vAlign w:val="bottom"/>
            <w:vMerge w:val="restart"/>
          </w:tcPr>
          <w:p>
            <w:pPr>
              <w:spacing w:after="0"/>
              <w:rPr>
                <w:sz w:val="20"/>
                <w:szCs w:val="20"/>
                <w:color w:val="auto"/>
              </w:rPr>
            </w:pPr>
            <w:r>
              <w:rPr>
                <w:rFonts w:ascii="Arial" w:cs="Arial" w:eastAsia="Arial" w:hAnsi="Arial"/>
                <w:sz w:val="18"/>
                <w:szCs w:val="18"/>
                <w:color w:val="auto"/>
              </w:rPr>
              <w:t>Revolver</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2"/>
              <w:spacing w:after="0" w:line="182"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1"/>
        </w:trPr>
        <w:tc>
          <w:tcPr>
            <w:tcW w:w="8140" w:type="dxa"/>
            <w:vAlign w:val="bottom"/>
            <w:vMerge w:val="continue"/>
          </w:tcPr>
          <w:p>
            <w:pPr>
              <w:spacing w:after="0"/>
              <w:rPr>
                <w:sz w:val="13"/>
                <w:szCs w:val="13"/>
                <w:color w:val="auto"/>
              </w:rPr>
            </w:pPr>
          </w:p>
        </w:tc>
        <w:tc>
          <w:tcPr>
            <w:tcW w:w="360" w:type="dxa"/>
            <w:vAlign w:val="bottom"/>
          </w:tcPr>
          <w:p>
            <w:pPr>
              <w:jc w:val="right"/>
              <w:ind w:right="207"/>
              <w:spacing w:after="0" w:line="151" w:lineRule="exact"/>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185,000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ind w:right="407"/>
              <w:spacing w:after="0" w:line="151"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5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8"/>
                <w:szCs w:val="18"/>
                <w:color w:val="auto"/>
              </w:rPr>
              <w:t>Term loan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8140" w:type="dxa"/>
            <w:vAlign w:val="bottom"/>
          </w:tcPr>
          <w:p>
            <w:pPr>
              <w:spacing w:after="0" w:line="150" w:lineRule="exact"/>
              <w:rPr>
                <w:sz w:val="20"/>
                <w:szCs w:val="20"/>
                <w:color w:val="auto"/>
              </w:rPr>
            </w:pPr>
            <w:r>
              <w:rPr>
                <w:rFonts w:ascii="Arial" w:cs="Arial" w:eastAsia="Arial" w:hAnsi="Arial"/>
                <w:sz w:val="17"/>
                <w:szCs w:val="17"/>
                <w:color w:val="auto"/>
              </w:rPr>
              <w:t>Total</w:t>
            </w:r>
          </w:p>
        </w:tc>
        <w:tc>
          <w:tcPr>
            <w:tcW w:w="3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185,000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8"/>
                <w:szCs w:val="18"/>
                <w:color w:val="auto"/>
              </w:rPr>
              <w:t>Current portion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14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185,000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Capitalized interest was not material for any of the periods shown. Summarized below are the total amounts of interest paid during the years ended December 31 (in thousands):</w:t>
      </w:r>
    </w:p>
    <w:p>
      <w:pPr>
        <w:spacing w:after="0" w:line="193" w:lineRule="exact"/>
        <w:rPr>
          <w:sz w:val="20"/>
          <w:szCs w:val="20"/>
          <w:color w:val="auto"/>
        </w:rPr>
      </w:pPr>
    </w:p>
    <w:tbl>
      <w:tblPr>
        <w:tblLayout w:type="fixed"/>
        <w:tblInd w:w="5980" w:type="dxa"/>
        <w:tblCellMar>
          <w:top w:w="0" w:type="dxa"/>
          <w:left w:w="0" w:type="dxa"/>
          <w:bottom w:w="0" w:type="dxa"/>
          <w:right w:w="0" w:type="dxa"/>
        </w:tblCellMar>
      </w:tblPr>
      <w:tr>
        <w:trPr>
          <w:trHeight w:val="224"/>
        </w:trPr>
        <w:tc>
          <w:tcPr>
            <w:tcW w:w="1940" w:type="dxa"/>
            <w:vAlign w:val="bottom"/>
          </w:tcPr>
          <w:p>
            <w:pPr>
              <w:jc w:val="right"/>
              <w:ind w:right="1539"/>
              <w:spacing w:after="0"/>
              <w:rPr>
                <w:sz w:val="20"/>
                <w:szCs w:val="20"/>
                <w:color w:val="auto"/>
              </w:rPr>
            </w:pPr>
            <w:r>
              <w:rPr>
                <w:rFonts w:ascii="Arial" w:cs="Arial" w:eastAsia="Arial" w:hAnsi="Arial"/>
                <w:sz w:val="16"/>
                <w:szCs w:val="16"/>
                <w:b w:val="1"/>
                <w:bCs w:val="1"/>
                <w:color w:val="auto"/>
                <w:w w:val="84"/>
              </w:rPr>
              <w:t>2021</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1,403</w:t>
            </w:r>
          </w:p>
        </w:tc>
      </w:tr>
      <w:tr>
        <w:trPr>
          <w:trHeight w:val="189"/>
        </w:trPr>
        <w:tc>
          <w:tcPr>
            <w:tcW w:w="1940" w:type="dxa"/>
            <w:vAlign w:val="bottom"/>
          </w:tcPr>
          <w:p>
            <w:pPr>
              <w:jc w:val="right"/>
              <w:ind w:right="1539"/>
              <w:spacing w:after="0"/>
              <w:rPr>
                <w:sz w:val="20"/>
                <w:szCs w:val="20"/>
                <w:color w:val="auto"/>
              </w:rPr>
            </w:pPr>
            <w:r>
              <w:rPr>
                <w:rFonts w:ascii="Arial" w:cs="Arial" w:eastAsia="Arial" w:hAnsi="Arial"/>
                <w:sz w:val="16"/>
                <w:szCs w:val="16"/>
                <w:color w:val="auto"/>
                <w:w w:val="84"/>
              </w:rPr>
              <w:t>2020</w:t>
            </w:r>
          </w:p>
        </w:tc>
        <w:tc>
          <w:tcPr>
            <w:tcW w:w="2180" w:type="dxa"/>
            <w:vAlign w:val="bottom"/>
          </w:tcPr>
          <w:p>
            <w:pPr>
              <w:jc w:val="right"/>
              <w:spacing w:after="0"/>
              <w:rPr>
                <w:sz w:val="20"/>
                <w:szCs w:val="20"/>
                <w:color w:val="auto"/>
              </w:rPr>
            </w:pPr>
            <w:r>
              <w:rPr>
                <w:rFonts w:ascii="Arial" w:cs="Arial" w:eastAsia="Arial" w:hAnsi="Arial"/>
                <w:sz w:val="16"/>
                <w:szCs w:val="16"/>
                <w:color w:val="auto"/>
              </w:rPr>
              <w:t>2,028</w:t>
            </w:r>
          </w:p>
        </w:tc>
      </w:tr>
      <w:tr>
        <w:trPr>
          <w:trHeight w:val="206"/>
        </w:trPr>
        <w:tc>
          <w:tcPr>
            <w:tcW w:w="1940" w:type="dxa"/>
            <w:vAlign w:val="bottom"/>
          </w:tcPr>
          <w:p>
            <w:pPr>
              <w:jc w:val="right"/>
              <w:ind w:right="1539"/>
              <w:spacing w:after="0"/>
              <w:rPr>
                <w:sz w:val="20"/>
                <w:szCs w:val="20"/>
                <w:color w:val="auto"/>
              </w:rPr>
            </w:pPr>
            <w:r>
              <w:rPr>
                <w:rFonts w:ascii="Arial" w:cs="Arial" w:eastAsia="Arial" w:hAnsi="Arial"/>
                <w:sz w:val="16"/>
                <w:szCs w:val="16"/>
                <w:color w:val="auto"/>
                <w:w w:val="84"/>
              </w:rPr>
              <w:t>2019</w:t>
            </w:r>
          </w:p>
        </w:tc>
        <w:tc>
          <w:tcPr>
            <w:tcW w:w="2180" w:type="dxa"/>
            <w:vAlign w:val="bottom"/>
          </w:tcPr>
          <w:p>
            <w:pPr>
              <w:jc w:val="right"/>
              <w:spacing w:after="0"/>
              <w:rPr>
                <w:sz w:val="20"/>
                <w:szCs w:val="20"/>
                <w:color w:val="auto"/>
              </w:rPr>
            </w:pPr>
            <w:r>
              <w:rPr>
                <w:rFonts w:ascii="Arial" w:cs="Arial" w:eastAsia="Arial" w:hAnsi="Arial"/>
                <w:sz w:val="16"/>
                <w:szCs w:val="16"/>
                <w:color w:val="auto"/>
              </w:rPr>
              <w:t>4,125</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The 2018 Credit Agreement contains the following quarterly financial covenants effective as of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center"/>
              <w:ind w:left="97"/>
              <w:spacing w:after="0"/>
              <w:rPr>
                <w:sz w:val="20"/>
                <w:szCs w:val="20"/>
                <w:color w:val="auto"/>
              </w:rPr>
            </w:pPr>
            <w:r>
              <w:rPr>
                <w:rFonts w:ascii="Arial" w:cs="Arial" w:eastAsia="Arial" w:hAnsi="Arial"/>
                <w:sz w:val="18"/>
                <w:szCs w:val="18"/>
                <w:color w:val="auto"/>
                <w:w w:val="85"/>
              </w:rPr>
              <w:t>Chemed</w:t>
            </w:r>
          </w:p>
        </w:tc>
      </w:tr>
      <w:tr>
        <w:trPr>
          <w:trHeight w:val="185"/>
        </w:trPr>
        <w:tc>
          <w:tcPr>
            <w:tcW w:w="7840" w:type="dxa"/>
            <w:vAlign w:val="bottom"/>
            <w:tcBorders>
              <w:bottom w:val="single" w:sz="8" w:color="auto"/>
            </w:tcBorders>
          </w:tcPr>
          <w:p>
            <w:pPr>
              <w:ind w:left="3540"/>
              <w:spacing w:after="0"/>
              <w:rPr>
                <w:sz w:val="20"/>
                <w:szCs w:val="20"/>
                <w:color w:val="auto"/>
              </w:rPr>
            </w:pPr>
            <w:r>
              <w:rPr>
                <w:rFonts w:ascii="Arial" w:cs="Arial" w:eastAsia="Arial" w:hAnsi="Arial"/>
                <w:sz w:val="16"/>
                <w:szCs w:val="16"/>
                <w:color w:val="auto"/>
              </w:rPr>
              <w:t>Description</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Requirement</w:t>
            </w:r>
          </w:p>
        </w:tc>
        <w:tc>
          <w:tcPr>
            <w:tcW w:w="180" w:type="dxa"/>
            <w:vAlign w:val="bottom"/>
          </w:tcPr>
          <w:p>
            <w:pPr>
              <w:spacing w:after="0"/>
              <w:rPr>
                <w:sz w:val="16"/>
                <w:szCs w:val="16"/>
                <w:color w:val="auto"/>
              </w:rPr>
            </w:pPr>
          </w:p>
        </w:tc>
        <w:tc>
          <w:tcPr>
            <w:tcW w:w="1800" w:type="dxa"/>
            <w:vAlign w:val="bottom"/>
            <w:tcBorders>
              <w:bottom w:val="single" w:sz="8" w:color="auto"/>
            </w:tcBorders>
          </w:tcPr>
          <w:p>
            <w:pPr>
              <w:jc w:val="center"/>
              <w:ind w:left="97"/>
              <w:spacing w:after="0"/>
              <w:rPr>
                <w:sz w:val="20"/>
                <w:szCs w:val="20"/>
                <w:color w:val="auto"/>
              </w:rPr>
            </w:pPr>
            <w:r>
              <w:rPr>
                <w:rFonts w:ascii="Arial" w:cs="Arial" w:eastAsia="Arial" w:hAnsi="Arial"/>
                <w:sz w:val="16"/>
                <w:szCs w:val="16"/>
                <w:color w:val="auto"/>
                <w:w w:val="89"/>
              </w:rPr>
              <w:t>December 31, 2021</w:t>
            </w:r>
          </w:p>
        </w:tc>
      </w:tr>
      <w:tr>
        <w:trPr>
          <w:trHeight w:val="582"/>
        </w:trPr>
        <w:tc>
          <w:tcPr>
            <w:tcW w:w="8020" w:type="dxa"/>
            <w:vAlign w:val="bottom"/>
            <w:gridSpan w:val="2"/>
          </w:tcPr>
          <w:p>
            <w:pPr>
              <w:spacing w:after="0"/>
              <w:rPr>
                <w:sz w:val="20"/>
                <w:szCs w:val="20"/>
                <w:color w:val="auto"/>
              </w:rPr>
            </w:pPr>
            <w:r>
              <w:rPr>
                <w:rFonts w:ascii="Arial" w:cs="Arial" w:eastAsia="Arial" w:hAnsi="Arial"/>
                <w:sz w:val="16"/>
                <w:szCs w:val="16"/>
                <w:color w:val="auto"/>
              </w:rPr>
              <w:t>Leverage Ratio (Consolidated Indebtedness/Consolidated Adj. EBITDA)</w:t>
            </w: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&lt; 3.50 to 1.00</w:t>
            </w:r>
          </w:p>
        </w:tc>
        <w:tc>
          <w:tcPr>
            <w:tcW w:w="1800" w:type="dxa"/>
            <w:vAlign w:val="bottom"/>
          </w:tcPr>
          <w:p>
            <w:pPr>
              <w:jc w:val="center"/>
              <w:ind w:left="97"/>
              <w:spacing w:after="0"/>
              <w:rPr>
                <w:sz w:val="20"/>
                <w:szCs w:val="20"/>
                <w:color w:val="auto"/>
              </w:rPr>
            </w:pPr>
            <w:r>
              <w:rPr>
                <w:rFonts w:ascii="Arial" w:cs="Arial" w:eastAsia="Arial" w:hAnsi="Arial"/>
                <w:sz w:val="16"/>
                <w:szCs w:val="16"/>
                <w:color w:val="auto"/>
                <w:w w:val="92"/>
              </w:rPr>
              <w:t>0.52 to 1.00</w:t>
            </w:r>
          </w:p>
        </w:tc>
      </w:tr>
      <w:tr>
        <w:trPr>
          <w:trHeight w:val="361"/>
        </w:trPr>
        <w:tc>
          <w:tcPr>
            <w:tcW w:w="8020" w:type="dxa"/>
            <w:vAlign w:val="bottom"/>
            <w:gridSpan w:val="2"/>
          </w:tcPr>
          <w:p>
            <w:pPr>
              <w:spacing w:after="0"/>
              <w:rPr>
                <w:sz w:val="20"/>
                <w:szCs w:val="20"/>
                <w:color w:val="auto"/>
              </w:rPr>
            </w:pPr>
            <w:r>
              <w:rPr>
                <w:rFonts w:ascii="Arial" w:cs="Arial" w:eastAsia="Arial" w:hAnsi="Arial"/>
                <w:sz w:val="16"/>
                <w:szCs w:val="16"/>
                <w:color w:val="auto"/>
              </w:rPr>
              <w:t>Fixed Charge Coverage Ratio (Consolidated Free Cash Flow/Consolidated</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6"/>
        </w:trPr>
        <w:tc>
          <w:tcPr>
            <w:tcW w:w="8020" w:type="dxa"/>
            <w:vAlign w:val="bottom"/>
            <w:gridSpan w:val="2"/>
          </w:tcPr>
          <w:p>
            <w:pPr>
              <w:spacing w:after="0"/>
              <w:rPr>
                <w:sz w:val="20"/>
                <w:szCs w:val="20"/>
                <w:color w:val="auto"/>
              </w:rPr>
            </w:pPr>
            <w:r>
              <w:rPr>
                <w:rFonts w:ascii="Arial" w:cs="Arial" w:eastAsia="Arial" w:hAnsi="Arial"/>
                <w:sz w:val="16"/>
                <w:szCs w:val="16"/>
                <w:color w:val="auto"/>
              </w:rPr>
              <w:t>Fixed Charges)</w:t>
            </w: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&gt; 1.50 to 1.00</w:t>
            </w:r>
          </w:p>
        </w:tc>
        <w:tc>
          <w:tcPr>
            <w:tcW w:w="1800" w:type="dxa"/>
            <w:vAlign w:val="bottom"/>
          </w:tcPr>
          <w:p>
            <w:pPr>
              <w:jc w:val="center"/>
              <w:ind w:left="97"/>
              <w:spacing w:after="0"/>
              <w:rPr>
                <w:sz w:val="20"/>
                <w:szCs w:val="20"/>
                <w:color w:val="auto"/>
              </w:rPr>
            </w:pPr>
            <w:r>
              <w:rPr>
                <w:rFonts w:ascii="Arial" w:cs="Arial" w:eastAsia="Arial" w:hAnsi="Arial"/>
                <w:sz w:val="16"/>
                <w:szCs w:val="16"/>
                <w:color w:val="auto"/>
                <w:w w:val="92"/>
              </w:rPr>
              <w:t>3.12 to 1.00</w:t>
            </w:r>
          </w:p>
        </w:tc>
      </w:tr>
    </w:tbl>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are in compliance with all debt covenants as of December 31, 2021. We have issued $46.2 million in standby letters of credit as of December 31, 2021 for insurance purposes. Issued letters of credit reduce our available credit under the 2018 Credit Agreement. As of December 31, 2021, we have approximately $218.8 million of unused lines of credit available and eligible to be drawn down under our revolving credit facility.</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Stock-Based Compensation Plans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have three stock incentive plans under which a total of 5.1 million shares were able to be issued to key employees and directors through a grant of stock options, stock awards and/or performance stock units (“PSUs”). The Compensation/Incentive Committee (“CIC”) of the Board of Directors administers these plans.</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grant stock options, stock awards and PSUs to our officers, other key employees and directors to better align their long-term interests with those of our shareholders. We grant stock options at an exercise price equal to the market price of our stock on the date of grant. Options vest ratably annually over a three year period. Those granted after 2014 have a contractual life of 5 years; those granted prior to 2014 have a contractual life of 10 years. Unrestricted stock awards generally are granted to our non-employee directors annually at the time of our annual meeting. PSUs are contingent upon achievement of multi-year earnings per share (“EPS”) targets or total shareholder return (“TSR”) targets. Upon achievement of targets, PSUs are converted to unrestricted shares of stock.</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recognize the cost of stock options, stock awards and PSUs on a straight-line basis over the service life of the award, generally the vesting period. We include the cost of all stock-based compensation in selling, general and administrative expense.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2021, the CIC granted 2,430 unrestricted shares of stock to the Company’s outside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7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CIC determines a targeted number of PSUs to be granted to each participant. A participant can ultimately receive up to 200% of the targeted PSUs based upon exceeding the respective EPS and TSR target.</w:t>
      </w:r>
    </w:p>
    <w:p>
      <w:pPr>
        <w:spacing w:after="0" w:line="1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February 2019, 2020 and 2021, the CIC granted PSUs contingent upon the achievement of certain TSR targets as compared to the TSR of a group of peer companies for the three year measurement period, at which date the awards may vest. We utilize a Monte Carlo simulation approach in a risk-neutral framework with inputs including historical volatility and the risk-free rate of interest to value these TSR awards. We amortize the total estimated cost over the service period of the award.</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February 2019, 2020 and 2021, the CIC granted PSUs contingent on the achievement of certain EPS targets over the three year measurement period. At the end of each reporting period, we estimate the number of shares of stock we believe will ultimately vest and record that expense over the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Comparative data for the PSUs include:</w:t>
      </w:r>
    </w:p>
    <w:p>
      <w:pPr>
        <w:spacing w:after="0" w:line="280" w:lineRule="exact"/>
        <w:rPr>
          <w:sz w:val="20"/>
          <w:szCs w:val="20"/>
          <w:color w:val="auto"/>
        </w:rPr>
      </w:pPr>
    </w:p>
    <w:tbl>
      <w:tblPr>
        <w:tblLayout w:type="fixed"/>
        <w:tblInd w:w="88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 Awards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 Awards</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2019 Awards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20"/>
                <w:szCs w:val="20"/>
                <w:color w:val="auto"/>
              </w:rPr>
            </w:pPr>
            <w:r>
              <w:rPr>
                <w:rFonts w:ascii="Arial" w:cs="Arial" w:eastAsia="Arial" w:hAnsi="Arial"/>
                <w:sz w:val="16"/>
                <w:szCs w:val="16"/>
                <w:b w:val="1"/>
                <w:bCs w:val="1"/>
                <w:color w:val="auto"/>
              </w:rPr>
              <w:t>TSR Awards</w:t>
            </w:r>
          </w:p>
        </w:tc>
        <w:tc>
          <w:tcPr>
            <w:tcW w:w="220" w:type="dxa"/>
            <w:vAlign w:val="bottom"/>
          </w:tcPr>
          <w:p>
            <w:pPr>
              <w:spacing w:after="0"/>
              <w:rPr>
                <w:sz w:val="18"/>
                <w:szCs w:val="18"/>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6,277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Shares of stock granted - target</w:t>
            </w: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5,156</w:t>
            </w:r>
          </w:p>
        </w:tc>
        <w:tc>
          <w:tcPr>
            <w:tcW w:w="300" w:type="dxa"/>
            <w:vAlign w:val="bottom"/>
            <w:gridSpan w:val="2"/>
            <w:vMerge w:val="restart"/>
          </w:tcPr>
          <w:p>
            <w:pPr>
              <w:ind w:left="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7,029</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Per-share fair value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599.04</w:t>
            </w:r>
          </w:p>
        </w:tc>
        <w:tc>
          <w:tcPr>
            <w:tcW w:w="280" w:type="dxa"/>
            <w:vAlign w:val="bottom"/>
            <w:gridSpan w:val="2"/>
            <w:vMerge w:val="continue"/>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643.44</w:t>
            </w:r>
          </w:p>
        </w:tc>
        <w:tc>
          <w:tcPr>
            <w:tcW w:w="300" w:type="dxa"/>
            <w:vAlign w:val="bottom"/>
            <w:gridSpan w:val="2"/>
            <w:vMerge w:val="continue"/>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434.51</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Volatility</w:t>
            </w:r>
          </w:p>
        </w:tc>
        <w:tc>
          <w:tcPr>
            <w:tcW w:w="2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30.2%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21.4%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61"/>
        </w:trPr>
        <w:tc>
          <w:tcPr>
            <w:tcW w:w="5260" w:type="dxa"/>
            <w:vAlign w:val="bottom"/>
          </w:tcPr>
          <w:p>
            <w:pPr>
              <w:spacing w:after="0"/>
              <w:rPr>
                <w:sz w:val="20"/>
                <w:szCs w:val="20"/>
                <w:color w:val="auto"/>
              </w:rPr>
            </w:pPr>
            <w:r>
              <w:rPr>
                <w:rFonts w:ascii="Arial" w:cs="Arial" w:eastAsia="Arial" w:hAnsi="Arial"/>
                <w:sz w:val="16"/>
                <w:szCs w:val="16"/>
                <w:b w:val="1"/>
                <w:bCs w:val="1"/>
                <w:color w:val="auto"/>
              </w:rPr>
              <w:t>EPS Awards</w:t>
            </w:r>
          </w:p>
        </w:tc>
        <w:tc>
          <w:tcPr>
            <w:tcW w:w="220" w:type="dxa"/>
            <w:vAlign w:val="bottom"/>
          </w:tcPr>
          <w:p>
            <w:pPr>
              <w:spacing w:after="0"/>
              <w:rPr>
                <w:sz w:val="24"/>
                <w:szCs w:val="24"/>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6,277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5,156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7,029</w:t>
            </w:r>
          </w:p>
        </w:tc>
        <w:tc>
          <w:tcPr>
            <w:tcW w:w="0" w:type="dxa"/>
            <w:vAlign w:val="bottom"/>
          </w:tcPr>
          <w:p>
            <w:pPr>
              <w:spacing w:after="0"/>
              <w:rPr>
                <w:sz w:val="1"/>
                <w:szCs w:val="1"/>
                <w:color w:val="auto"/>
              </w:rPr>
            </w:pPr>
          </w:p>
        </w:tc>
      </w:tr>
      <w:tr>
        <w:trPr>
          <w:trHeight w:val="158"/>
        </w:trPr>
        <w:tc>
          <w:tcPr>
            <w:tcW w:w="5260" w:type="dxa"/>
            <w:vAlign w:val="bottom"/>
          </w:tcPr>
          <w:p>
            <w:pPr>
              <w:spacing w:after="0" w:line="158" w:lineRule="exact"/>
              <w:rPr>
                <w:sz w:val="20"/>
                <w:szCs w:val="20"/>
                <w:color w:val="auto"/>
              </w:rPr>
            </w:pPr>
            <w:r>
              <w:rPr>
                <w:rFonts w:ascii="Arial" w:cs="Arial" w:eastAsia="Arial" w:hAnsi="Arial"/>
                <w:sz w:val="16"/>
                <w:szCs w:val="16"/>
                <w:color w:val="auto"/>
              </w:rPr>
              <w:t>Shares of stock granted - target</w:t>
            </w:r>
          </w:p>
        </w:tc>
        <w:tc>
          <w:tcPr>
            <w:tcW w:w="220" w:type="dxa"/>
            <w:vAlign w:val="bottom"/>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gridSpan w:val="2"/>
            <w:vMerge w:val="continue"/>
          </w:tcPr>
          <w:p>
            <w:pPr>
              <w:spacing w:after="0"/>
              <w:rPr>
                <w:sz w:val="13"/>
                <w:szCs w:val="13"/>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vMerge w:val="continue"/>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6"/>
                <w:szCs w:val="16"/>
                <w:color w:val="auto"/>
              </w:rPr>
              <w:t>Per-share fair value</w:t>
            </w:r>
          </w:p>
        </w:tc>
        <w:tc>
          <w:tcPr>
            <w:tcW w:w="220" w:type="dxa"/>
            <w:vAlign w:val="bottom"/>
            <w:vMerge w:val="continue"/>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491.34</w:t>
            </w:r>
          </w:p>
        </w:tc>
        <w:tc>
          <w:tcPr>
            <w:tcW w:w="280" w:type="dxa"/>
            <w:vAlign w:val="bottom"/>
            <w:gridSpan w:val="2"/>
            <w:vMerge w:val="continue"/>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487.90</w:t>
            </w:r>
          </w:p>
        </w:tc>
        <w:tc>
          <w:tcPr>
            <w:tcW w:w="300" w:type="dxa"/>
            <w:vAlign w:val="bottom"/>
            <w:gridSpan w:val="2"/>
            <w:vMerge w:val="continue"/>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322.40</w:t>
            </w: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0"/>
                <w:szCs w:val="20"/>
                <w:color w:val="auto"/>
              </w:rPr>
            </w:pPr>
            <w:r>
              <w:rPr>
                <w:rFonts w:ascii="Arial" w:cs="Arial" w:eastAsia="Arial" w:hAnsi="Arial"/>
                <w:sz w:val="16"/>
                <w:szCs w:val="16"/>
                <w:b w:val="1"/>
                <w:bCs w:val="1"/>
                <w:color w:val="auto"/>
              </w:rPr>
              <w:t>Common Assumptions</w:t>
            </w:r>
          </w:p>
        </w:tc>
        <w:tc>
          <w:tcPr>
            <w:tcW w:w="220" w:type="dxa"/>
            <w:vAlign w:val="bottom"/>
          </w:tcPr>
          <w:p>
            <w:pPr>
              <w:spacing w:after="0"/>
              <w:rPr>
                <w:sz w:val="24"/>
                <w:szCs w:val="24"/>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2.9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Service period (years)</w:t>
            </w: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6"/>
                <w:szCs w:val="16"/>
                <w:color w:val="auto"/>
              </w:rPr>
              <w:t>Three-year measurement period ends December 31,</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2022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total stock option, stock award and PSU activity during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Stock Options</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3"/>
                <w:szCs w:val="13"/>
                <w:color w:val="auto"/>
              </w:rPr>
            </w:pPr>
          </w:p>
        </w:tc>
        <w:tc>
          <w:tcPr>
            <w:tcW w:w="2080" w:type="dxa"/>
            <w:vAlign w:val="bottom"/>
            <w:tcBorders>
              <w:bottom w:val="single" w:sz="8" w:color="auto"/>
            </w:tcBorders>
            <w:gridSpan w:val="6"/>
          </w:tcPr>
          <w:p>
            <w:pPr>
              <w:jc w:val="right"/>
              <w:ind w:right="257"/>
              <w:spacing w:after="0"/>
              <w:rPr>
                <w:sz w:val="20"/>
                <w:szCs w:val="20"/>
                <w:color w:val="auto"/>
              </w:rPr>
            </w:pPr>
            <w:r>
              <w:rPr>
                <w:rFonts w:ascii="Arial" w:cs="Arial" w:eastAsia="Arial" w:hAnsi="Arial"/>
                <w:sz w:val="13"/>
                <w:szCs w:val="13"/>
                <w:b w:val="1"/>
                <w:bCs w:val="1"/>
                <w:color w:val="auto"/>
              </w:rPr>
              <w:t>Performance Units (PSUs)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Weighted</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Weighted Average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Aggregate</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Average</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Remaining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Intrinsic</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Grant-Date</w:t>
            </w: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Exercise</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Contractual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Value</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Per-Share</w:t>
            </w: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Target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Grant-Date</w:t>
            </w:r>
          </w:p>
        </w:tc>
        <w:tc>
          <w:tcPr>
            <w:tcW w:w="0" w:type="dxa"/>
            <w:vAlign w:val="bottom"/>
          </w:tcPr>
          <w:p>
            <w:pPr>
              <w:spacing w:after="0"/>
              <w:rPr>
                <w:sz w:val="1"/>
                <w:szCs w:val="1"/>
                <w:color w:val="auto"/>
              </w:rPr>
            </w:pPr>
          </w:p>
        </w:tc>
      </w:tr>
      <w:tr>
        <w:trPr>
          <w:trHeight w:val="153"/>
        </w:trPr>
        <w:tc>
          <w:tcPr>
            <w:tcW w:w="2700" w:type="dxa"/>
            <w:vAlign w:val="bottom"/>
            <w:vMerge w:val="restart"/>
          </w:tcPr>
          <w:p>
            <w:pPr>
              <w:spacing w:after="0"/>
              <w:rPr>
                <w:sz w:val="20"/>
                <w:szCs w:val="20"/>
                <w:color w:val="auto"/>
              </w:rPr>
            </w:pPr>
            <w:r>
              <w:rPr>
                <w:rFonts w:ascii="Arial" w:cs="Arial" w:eastAsia="Arial" w:hAnsi="Arial"/>
                <w:sz w:val="14"/>
                <w:szCs w:val="14"/>
                <w:color w:val="auto"/>
              </w:rPr>
              <w:t>Outstanding at January 1, 2021</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Price</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Life (Years)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(thousands)</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Awards</w:t>
            </w:r>
          </w:p>
        </w:tc>
        <w:tc>
          <w:tcPr>
            <w:tcW w:w="2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Fair Value</w:t>
            </w: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6"/>
              </w:rPr>
              <w:t>Units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110"/>
        </w:trPr>
        <w:tc>
          <w:tcPr>
            <w:tcW w:w="2700" w:type="dxa"/>
            <w:vAlign w:val="bottom"/>
            <w:vMerge w:val="continue"/>
          </w:tcPr>
          <w:p>
            <w:pPr>
              <w:spacing w:after="0"/>
              <w:rPr>
                <w:sz w:val="9"/>
                <w:szCs w:val="9"/>
                <w:color w:val="auto"/>
              </w:rPr>
            </w:pPr>
          </w:p>
        </w:tc>
        <w:tc>
          <w:tcPr>
            <w:tcW w:w="8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1,070,071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jc w:val="right"/>
              <w:ind w:right="8"/>
              <w:spacing w:after="0" w:line="110"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341.99</w:t>
            </w:r>
          </w:p>
        </w:tc>
        <w:tc>
          <w:tcPr>
            <w:tcW w:w="1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20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88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38,196</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color w:val="auto"/>
              </w:rPr>
              <w:t>$</w:t>
            </w:r>
          </w:p>
        </w:tc>
        <w:tc>
          <w:tcPr>
            <w:tcW w:w="8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396.93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326,806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445.35</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2,430</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482.66</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24,615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419.79</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Arial" w:cs="Arial" w:eastAsia="Arial" w:hAnsi="Arial"/>
                <w:sz w:val="14"/>
                <w:szCs w:val="14"/>
                <w:color w:val="auto"/>
              </w:rPr>
              <w:t>Exercised/Vested</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(226,268)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228.74</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(2,430)</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482.66</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(26,521)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294.43</w:t>
            </w:r>
          </w:p>
        </w:tc>
        <w:tc>
          <w:tcPr>
            <w:tcW w:w="0" w:type="dxa"/>
            <w:vAlign w:val="bottom"/>
          </w:tcPr>
          <w:p>
            <w:pPr>
              <w:spacing w:after="0"/>
              <w:rPr>
                <w:sz w:val="1"/>
                <w:szCs w:val="1"/>
                <w:color w:val="auto"/>
              </w:rPr>
            </w:pPr>
          </w:p>
        </w:tc>
      </w:tr>
      <w:tr>
        <w:trPr>
          <w:trHeight w:val="161"/>
        </w:trPr>
        <w:tc>
          <w:tcPr>
            <w:tcW w:w="2700" w:type="dxa"/>
            <w:vAlign w:val="bottom"/>
          </w:tcPr>
          <w:p>
            <w:pPr>
              <w:spacing w:after="0" w:line="149" w:lineRule="exact"/>
              <w:rPr>
                <w:sz w:val="20"/>
                <w:szCs w:val="20"/>
                <w:color w:val="auto"/>
              </w:rPr>
            </w:pPr>
            <w:r>
              <w:rPr>
                <w:rFonts w:ascii="Arial" w:cs="Arial" w:eastAsia="Arial" w:hAnsi="Arial"/>
                <w:sz w:val="14"/>
                <w:szCs w:val="14"/>
                <w:color w:val="auto"/>
              </w:rPr>
              <w:t>Canceled/ Forfeited</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(16,572)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411.46</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(456)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491.77</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4"/>
                <w:szCs w:val="14"/>
                <w:color w:val="auto"/>
              </w:rPr>
              <w:t>Outstanding at December 31, 2021</w:t>
            </w: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color w:val="auto"/>
              </w:rPr>
              <w:t>1,154,037</w:t>
            </w:r>
          </w:p>
        </w:tc>
        <w:tc>
          <w:tcPr>
            <w:tcW w:w="60" w:type="dxa"/>
            <w:vAlign w:val="bottom"/>
          </w:tcPr>
          <w:p>
            <w:pPr>
              <w:spacing w:after="0"/>
              <w:rPr>
                <w:sz w:val="11"/>
                <w:szCs w:val="11"/>
                <w:color w:val="auto"/>
              </w:rPr>
            </w:pPr>
          </w:p>
        </w:tc>
        <w:tc>
          <w:tcPr>
            <w:tcW w:w="20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392.46</w:t>
            </w:r>
          </w:p>
        </w:tc>
        <w:tc>
          <w:tcPr>
            <w:tcW w:w="10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3.4</w:t>
            </w:r>
          </w:p>
        </w:tc>
        <w:tc>
          <w:tcPr>
            <w:tcW w:w="2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160,200</w:t>
            </w: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35,834</w:t>
            </w:r>
          </w:p>
        </w:tc>
        <w:tc>
          <w:tcPr>
            <w:tcW w:w="40" w:type="dxa"/>
            <w:vAlign w:val="bottom"/>
          </w:tcPr>
          <w:p>
            <w:pPr>
              <w:spacing w:after="0"/>
              <w:rPr>
                <w:sz w:val="11"/>
                <w:szCs w:val="11"/>
                <w:color w:val="auto"/>
              </w:rPr>
            </w:pPr>
          </w:p>
        </w:tc>
        <w:tc>
          <w:tcPr>
            <w:tcW w:w="2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487.29</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color w:val="auto"/>
              </w:rPr>
              <w:t>Vested and expected to vest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20"/>
              <w:spacing w:after="0" w:line="149" w:lineRule="exact"/>
              <w:rPr>
                <w:sz w:val="20"/>
                <w:szCs w:val="20"/>
                <w:color w:val="auto"/>
              </w:rPr>
            </w:pPr>
            <w:r>
              <w:rPr>
                <w:rFonts w:ascii="Arial" w:cs="Arial" w:eastAsia="Arial" w:hAnsi="Arial"/>
                <w:sz w:val="14"/>
                <w:szCs w:val="14"/>
                <w:color w:val="auto"/>
              </w:rPr>
              <w:t>at December 31, 2021</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1,154,037</w:t>
            </w:r>
          </w:p>
        </w:tc>
        <w:tc>
          <w:tcPr>
            <w:tcW w:w="20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392.46</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160,200</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55,984</w:t>
            </w:r>
          </w:p>
        </w:tc>
        <w:tc>
          <w:tcPr>
            <w:tcW w:w="40" w:type="dxa"/>
            <w:vAlign w:val="bottom"/>
          </w:tcPr>
          <w:p>
            <w:pPr>
              <w:spacing w:after="0"/>
              <w:rPr>
                <w:sz w:val="12"/>
                <w:szCs w:val="12"/>
                <w:color w:val="auto"/>
              </w:rPr>
            </w:pPr>
          </w:p>
        </w:tc>
        <w:tc>
          <w:tcPr>
            <w:tcW w:w="2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463.76</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4"/>
                <w:szCs w:val="14"/>
                <w:color w:val="auto"/>
              </w:rPr>
              <w:t>Exercisable at December 31, 2021</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545,359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329.13</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110,246</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n.a.</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n.a.</w:t>
            </w:r>
          </w:p>
        </w:tc>
        <w:tc>
          <w:tcPr>
            <w:tcW w:w="940" w:type="dxa"/>
            <w:vAlign w:val="bottom"/>
            <w:gridSpan w:val="3"/>
          </w:tcPr>
          <w:p>
            <w:pPr>
              <w:ind w:left="70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Amount includes 23,196 share units which vested and were converted to shares of stock and distributed in the first quarter of 2022.</w:t>
      </w:r>
    </w:p>
    <w:p>
      <w:pPr>
        <w:spacing w:after="0" w:line="15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We estimate the fair value of stock options using the Black-Scholes valuation model. We determine expected term, volatility, and dividend yield and forfeiture rate based on our historical experience. We believe that historical experience is the best indicator of these factors.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Comparative data for stock options, stock awards and PSUs include (in thousands, except per-share amounts):</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244"/>
              <w:spacing w:after="0"/>
              <w:rPr>
                <w:sz w:val="20"/>
                <w:szCs w:val="20"/>
                <w:color w:val="auto"/>
              </w:rPr>
            </w:pPr>
            <w:r>
              <w:rPr>
                <w:rFonts w:ascii="Arial" w:cs="Arial" w:eastAsia="Arial" w:hAnsi="Arial"/>
                <w:sz w:val="16"/>
                <w:szCs w:val="16"/>
                <w:b w:val="1"/>
                <w:bCs w:val="1"/>
                <w:color w:val="auto"/>
                <w:w w:val="93"/>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73"/>
        </w:trPr>
        <w:tc>
          <w:tcPr>
            <w:tcW w:w="4700" w:type="dxa"/>
            <w:vAlign w:val="bottom"/>
          </w:tcPr>
          <w:p>
            <w:pPr>
              <w:spacing w:after="0" w:line="173" w:lineRule="exact"/>
              <w:rPr>
                <w:sz w:val="20"/>
                <w:szCs w:val="20"/>
                <w:color w:val="auto"/>
              </w:rPr>
            </w:pPr>
            <w:r>
              <w:rPr>
                <w:rFonts w:ascii="Arial" w:cs="Arial" w:eastAsia="Arial" w:hAnsi="Arial"/>
                <w:sz w:val="16"/>
                <w:szCs w:val="16"/>
                <w:color w:val="auto"/>
              </w:rPr>
              <w:t>Total compensation expense of stock-based compensation</w:t>
            </w:r>
          </w:p>
        </w:tc>
        <w:tc>
          <w:tcPr>
            <w:tcW w:w="1980" w:type="dxa"/>
            <w:vAlign w:val="bottom"/>
            <w:gridSpan w:val="2"/>
            <w:vMerge w:val="restart"/>
          </w:tcPr>
          <w:p>
            <w:pPr>
              <w:jc w:val="right"/>
              <w:ind w:right="1079"/>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w w:val="93"/>
              </w:rPr>
              <w:t>31,420</w:t>
            </w:r>
          </w:p>
        </w:tc>
        <w:tc>
          <w:tcPr>
            <w:tcW w:w="5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26,802</w:t>
            </w:r>
          </w:p>
        </w:tc>
        <w:tc>
          <w:tcPr>
            <w:tcW w:w="240" w:type="dxa"/>
            <w:vAlign w:val="bottom"/>
          </w:tcPr>
          <w:p>
            <w:pPr>
              <w:spacing w:after="0"/>
              <w:rPr>
                <w:sz w:val="15"/>
                <w:szCs w:val="15"/>
                <w:color w:val="auto"/>
              </w:rPr>
            </w:pPr>
          </w:p>
        </w:tc>
        <w:tc>
          <w:tcPr>
            <w:tcW w:w="380" w:type="dxa"/>
            <w:vAlign w:val="bottom"/>
            <w:vMerge w:val="restart"/>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21,338</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plans charged against income</w:t>
            </w:r>
          </w:p>
        </w:tc>
        <w:tc>
          <w:tcPr>
            <w:tcW w:w="198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Total income tax benefit recognized in income for stock</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7,918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20"/>
              <w:spacing w:after="0"/>
              <w:rPr>
                <w:sz w:val="20"/>
                <w:szCs w:val="20"/>
                <w:color w:val="auto"/>
              </w:rPr>
            </w:pPr>
            <w:r>
              <w:rPr>
                <w:rFonts w:ascii="Arial" w:cs="Arial" w:eastAsia="Arial" w:hAnsi="Arial"/>
                <w:sz w:val="16"/>
                <w:szCs w:val="16"/>
                <w:color w:val="auto"/>
              </w:rPr>
              <w:t>based compensation expense charged against income</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5,373</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Total intrinsic value of stock options exercised</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62,038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125,448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106,793</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Total intrinsic value of stock awards vested during the period</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1,173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Per-share weighted average grant-date fair value of</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w w:val="93"/>
              </w:rPr>
              <w:t>482.66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20"/>
              <w:spacing w:after="0"/>
              <w:rPr>
                <w:sz w:val="20"/>
                <w:szCs w:val="20"/>
                <w:color w:val="auto"/>
              </w:rPr>
            </w:pPr>
            <w:r>
              <w:rPr>
                <w:rFonts w:ascii="Arial" w:cs="Arial" w:eastAsia="Arial" w:hAnsi="Arial"/>
                <w:sz w:val="16"/>
                <w:szCs w:val="16"/>
                <w:color w:val="auto"/>
              </w:rPr>
              <w:t>stock awards granted</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466.43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6"/>
          <w:szCs w:val="16"/>
          <w:color w:val="auto"/>
        </w:rPr>
        <w:t>The assumptions we used to value stock option grants are as follows:</w:t>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 price on date of issuance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Grant date fair value per option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options granted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Expected term (years)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Risk free rate of return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Volatility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Dividend yield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Forfeiture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6"/>
                <w:szCs w:val="16"/>
                <w:color w:val="auto"/>
              </w:rPr>
            </w:pPr>
          </w:p>
        </w:tc>
      </w:tr>
      <w:tr>
        <w:trPr>
          <w:trHeight w:val="231"/>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445.35</w:t>
            </w:r>
          </w:p>
        </w:tc>
        <w:tc>
          <w:tcPr>
            <w:tcW w:w="40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471.74</w:t>
            </w:r>
          </w:p>
        </w:tc>
        <w:tc>
          <w:tcPr>
            <w:tcW w:w="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413.19</w:t>
            </w:r>
          </w:p>
        </w:tc>
      </w:tr>
      <w:tr>
        <w:trPr>
          <w:trHeight w:val="230"/>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96.91</w:t>
            </w:r>
          </w:p>
        </w:tc>
        <w:tc>
          <w:tcPr>
            <w:tcW w:w="40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97.56</w:t>
            </w:r>
          </w:p>
        </w:tc>
        <w:tc>
          <w:tcPr>
            <w:tcW w:w="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78.06</w:t>
            </w:r>
          </w:p>
        </w:tc>
      </w:tr>
      <w:tr>
        <w:trPr>
          <w:trHeight w:val="229"/>
        </w:trPr>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326,806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298,670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287,010</w:t>
            </w:r>
          </w:p>
        </w:tc>
      </w:tr>
      <w:tr>
        <w:trPr>
          <w:trHeight w:val="230"/>
        </w:trPr>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r>
      <w:tr>
        <w:trPr>
          <w:trHeight w:val="229"/>
        </w:trPr>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0.87%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0.24%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1.65%</w:t>
            </w:r>
          </w:p>
        </w:tc>
      </w:tr>
      <w:tr>
        <w:trPr>
          <w:trHeight w:val="229"/>
        </w:trPr>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28.81%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28.41%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21.25%</w:t>
            </w:r>
          </w:p>
        </w:tc>
      </w:tr>
      <w:tr>
        <w:trPr>
          <w:trHeight w:val="230"/>
        </w:trPr>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29"/>
        </w:trPr>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40" w:lineRule="exact"/>
        <w:rPr>
          <w:sz w:val="20"/>
          <w:szCs w:val="20"/>
          <w:color w:val="auto"/>
        </w:rPr>
      </w:pPr>
    </w:p>
    <w:p>
      <w:pPr>
        <w:sectPr>
          <w:pgSz w:w="11900" w:h="16838" w:orient="portrait"/>
          <w:cols w:equalWidth="0" w:num="2">
            <w:col w:w="5620" w:space="520"/>
            <w:col w:w="5100"/>
          </w:cols>
          <w:pgMar w:left="320" w:top="301" w:right="339" w:bottom="1440" w:gutter="0" w:footer="0" w:header="0"/>
        </w:sectPr>
      </w:pPr>
    </w:p>
    <w:p>
      <w:pPr>
        <w:ind w:left="660"/>
        <w:spacing w:after="0"/>
        <w:rPr>
          <w:sz w:val="20"/>
          <w:szCs w:val="20"/>
          <w:color w:val="auto"/>
        </w:rPr>
      </w:pPr>
      <w:r>
        <w:rPr>
          <w:rFonts w:ascii="Arial" w:cs="Arial" w:eastAsia="Arial" w:hAnsi="Arial"/>
          <w:sz w:val="18"/>
          <w:szCs w:val="18"/>
          <w:color w:val="auto"/>
        </w:rPr>
        <w:t>Other data for stock options, stock awards and PSUs for 2021 include (dollar 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ind w:left="320"/>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Awards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335"/>
        </w:trPr>
        <w:tc>
          <w:tcPr>
            <w:tcW w:w="6060" w:type="dxa"/>
            <w:vAlign w:val="bottom"/>
          </w:tcPr>
          <w:p>
            <w:pPr>
              <w:spacing w:after="0"/>
              <w:rPr>
                <w:sz w:val="20"/>
                <w:szCs w:val="20"/>
                <w:color w:val="auto"/>
              </w:rPr>
            </w:pPr>
            <w:r>
              <w:rPr>
                <w:rFonts w:ascii="Arial" w:cs="Arial" w:eastAsia="Arial" w:hAnsi="Arial"/>
                <w:sz w:val="16"/>
                <w:szCs w:val="16"/>
                <w:color w:val="auto"/>
              </w:rPr>
              <w:t>Total unrecognized compensation at the end of the year</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52,790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8,579</w:t>
            </w:r>
          </w:p>
        </w:tc>
        <w:tc>
          <w:tcPr>
            <w:tcW w:w="0" w:type="dxa"/>
            <w:vAlign w:val="bottom"/>
          </w:tcPr>
          <w:p>
            <w:pPr>
              <w:spacing w:after="0"/>
              <w:rPr>
                <w:sz w:val="1"/>
                <w:szCs w:val="1"/>
                <w:color w:val="auto"/>
              </w:rPr>
            </w:pP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6"/>
                <w:szCs w:val="16"/>
                <w:color w:val="auto"/>
                <w:w w:val="94"/>
              </w:rPr>
              <w:t>Weighted average period over which unrecognized compensation to be recognized (years)</w:t>
            </w: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2.3</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6"/>
                <w:szCs w:val="16"/>
                <w:color w:val="auto"/>
              </w:rPr>
              <w:t>Actual income tax benefit realized</w:t>
            </w:r>
          </w:p>
        </w:tc>
        <w:tc>
          <w:tcPr>
            <w:tcW w:w="520" w:type="dxa"/>
            <w:vAlign w:val="bottom"/>
            <w:gridSpan w:val="2"/>
            <w:vMerge w:val="continue"/>
          </w:tcPr>
          <w:p>
            <w:pPr>
              <w:spacing w:after="0"/>
              <w:rPr>
                <w:sz w:val="14"/>
                <w:szCs w:val="14"/>
                <w:color w:val="auto"/>
              </w:rPr>
            </w:pPr>
          </w:p>
        </w:tc>
        <w:tc>
          <w:tcPr>
            <w:tcW w:w="130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14,579</w:t>
            </w:r>
          </w:p>
        </w:tc>
        <w:tc>
          <w:tcPr>
            <w:tcW w:w="440" w:type="dxa"/>
            <w:vAlign w:val="bottom"/>
            <w:gridSpan w:val="2"/>
            <w:vMerge w:val="continue"/>
          </w:tcPr>
          <w:p>
            <w:pPr>
              <w:spacing w:after="0"/>
              <w:rPr>
                <w:sz w:val="14"/>
                <w:szCs w:val="14"/>
                <w:color w:val="auto"/>
              </w:rPr>
            </w:pPr>
          </w:p>
        </w:tc>
        <w:tc>
          <w:tcPr>
            <w:tcW w:w="12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276</w:t>
            </w:r>
          </w:p>
        </w:tc>
        <w:tc>
          <w:tcPr>
            <w:tcW w:w="500" w:type="dxa"/>
            <w:vAlign w:val="bottom"/>
            <w:gridSpan w:val="2"/>
            <w:vMerge w:val="continue"/>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6"/>
                <w:szCs w:val="16"/>
                <w:color w:val="auto"/>
              </w:rPr>
              <w:t>Aggregate intrinsic value vested and expected to vest</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160,200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29,744</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(“ESPP”)</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ESPP allows eligible participants to purchase shares of stock through payroll deductions at current market value. We pay administrative and broker fees associated with the ESPP. Shares of stock purchased for the ESPP are purchased on the open market and credited directly to participants’ accounts. In accordance with the FASB’s guidance, the ESPP is non-compensatory.</w:t>
      </w:r>
    </w:p>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Segments and Nature of the Business</w:t>
      </w:r>
    </w:p>
    <w:p>
      <w:pPr>
        <w:spacing w:after="0" w:line="1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segments include the VITAS segment and the Roto-Rooter segment. Relative contributions of each segment to service revenues and sales were 59% and 41% in 2021, 64% and 36% in 2020 and 66% and 34% in 2019. The vast majority of our service revenues and sales from continuing operations are generated from business within the United States. Service revenues and sales by business segment are shown in Note 2.</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reportable segments have been defined along service lines, which is consistent with the way the businesses are managed. In determining reportable segments, the RRSC and RRC operating units of the Roto-Rooter segment have been aggregated on the basis of possessing similar operating and economic characteristics. The characteristics of these operating segments and the basis for aggregation are reviewed annually.</w:t>
      </w:r>
    </w:p>
    <w:p>
      <w:pPr>
        <w:spacing w:after="0" w:line="13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report corporate administrative expenses and unallocated investing and financing income and expense not directly related to either segment as “Corporate”. Corporate administrative expense includes the stewardship, accounting and reporting, legal, tax and other costs of operating a publicly held corporation. Corporate investing and financing income and expenses include the costs and income associated with corporate debt and investment arrangements.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2" w:name="page63"/>
    <w:bookmarkEnd w:id="62"/>
    <w:p>
      <w:pPr>
        <w:ind w:left="660"/>
        <w:spacing w:after="0"/>
        <w:rPr>
          <w:sz w:val="20"/>
          <w:szCs w:val="20"/>
          <w:color w:val="auto"/>
        </w:rPr>
      </w:pPr>
      <w:r>
        <w:rPr>
          <w:rFonts w:ascii="Arial" w:cs="Arial" w:eastAsia="Arial" w:hAnsi="Arial"/>
          <w:sz w:val="18"/>
          <w:szCs w:val="18"/>
          <w:color w:val="auto"/>
        </w:rPr>
        <w:t>Segment data are set forth below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jc w:val="right"/>
              <w:ind w:right="169"/>
              <w:spacing w:after="0"/>
              <w:rPr>
                <w:sz w:val="20"/>
                <w:szCs w:val="20"/>
                <w:color w:val="auto"/>
              </w:rPr>
            </w:pPr>
            <w:r>
              <w:rPr>
                <w:rFonts w:ascii="Arial" w:cs="Arial" w:eastAsia="Arial" w:hAnsi="Arial"/>
                <w:sz w:val="16"/>
                <w:szCs w:val="16"/>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gridSpan w:val="7"/>
            <w:vMerge w:val="restart"/>
          </w:tcPr>
          <w:p>
            <w:pPr>
              <w:spacing w:after="0"/>
              <w:rPr>
                <w:sz w:val="20"/>
                <w:szCs w:val="20"/>
                <w:color w:val="auto"/>
              </w:rPr>
            </w:pPr>
            <w:r>
              <w:rPr>
                <w:rFonts w:ascii="Arial" w:cs="Arial" w:eastAsia="Arial" w:hAnsi="Arial"/>
                <w:sz w:val="16"/>
                <w:szCs w:val="16"/>
                <w:b w:val="1"/>
                <w:bCs w:val="1"/>
                <w:color w:val="auto"/>
                <w:w w:val="91"/>
              </w:rPr>
              <w:t>After-tax Segment Earnings/(Loss)</w:t>
            </w:r>
          </w:p>
        </w:tc>
        <w:tc>
          <w:tcPr>
            <w:tcW w:w="200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33"/>
        </w:trPr>
        <w:tc>
          <w:tcPr>
            <w:tcW w:w="2420" w:type="dxa"/>
            <w:vAlign w:val="bottom"/>
            <w:tcBorders>
              <w:bottom w:val="single" w:sz="8" w:color="auto"/>
            </w:tcBorders>
            <w:gridSpan w:val="7"/>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4420" w:type="dxa"/>
            <w:vAlign w:val="bottom"/>
            <w:gridSpan w:val="8"/>
          </w:tcPr>
          <w:p>
            <w:pPr>
              <w:spacing w:after="0"/>
              <w:rPr>
                <w:sz w:val="20"/>
                <w:szCs w:val="20"/>
                <w:color w:val="auto"/>
              </w:rPr>
            </w:pPr>
            <w:r>
              <w:rPr>
                <w:rFonts w:ascii="Arial" w:cs="Arial" w:eastAsia="Arial" w:hAnsi="Arial"/>
                <w:sz w:val="16"/>
                <w:szCs w:val="16"/>
                <w:color w:val="auto"/>
              </w:rPr>
              <w:t>VITAS</w:t>
            </w: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162,431</w:t>
            </w:r>
          </w:p>
        </w:tc>
        <w:tc>
          <w:tcPr>
            <w:tcW w:w="100" w:type="dxa"/>
            <w:vAlign w:val="bottom"/>
          </w:tcPr>
          <w:p>
            <w:pPr>
              <w:spacing w:after="0"/>
              <w:rPr>
                <w:sz w:val="20"/>
                <w:szCs w:val="20"/>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238,782</w:t>
            </w:r>
          </w:p>
        </w:tc>
        <w:tc>
          <w:tcPr>
            <w:tcW w:w="200" w:type="dxa"/>
            <w:vAlign w:val="bottom"/>
          </w:tcPr>
          <w:p>
            <w:pPr>
              <w:spacing w:after="0"/>
              <w:rPr>
                <w:sz w:val="20"/>
                <w:szCs w:val="20"/>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155,822</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166,333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120,394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103,710</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328,764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359,176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259,532</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(60,214)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(39,710)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(39,609)</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Net income</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268,550</w:t>
            </w:r>
          </w:p>
        </w:tc>
        <w:tc>
          <w:tcPr>
            <w:tcW w:w="100" w:type="dxa"/>
            <w:vAlign w:val="bottom"/>
          </w:tcPr>
          <w:p>
            <w:pPr>
              <w:spacing w:after="0"/>
              <w:rPr>
                <w:sz w:val="15"/>
                <w:szCs w:val="15"/>
                <w:color w:val="auto"/>
              </w:rPr>
            </w:pPr>
          </w:p>
        </w:tc>
        <w:tc>
          <w:tcPr>
            <w:tcW w:w="480" w:type="dxa"/>
            <w:vAlign w:val="bottom"/>
            <w:gridSpan w:val="2"/>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319,466</w:t>
            </w:r>
          </w:p>
        </w:tc>
        <w:tc>
          <w:tcPr>
            <w:tcW w:w="200" w:type="dxa"/>
            <w:vAlign w:val="bottom"/>
          </w:tcPr>
          <w:p>
            <w:pPr>
              <w:spacing w:after="0"/>
              <w:rPr>
                <w:sz w:val="15"/>
                <w:szCs w:val="15"/>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219,923</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line="142" w:lineRule="exact"/>
              <w:rPr>
                <w:sz w:val="20"/>
                <w:szCs w:val="20"/>
                <w:color w:val="auto"/>
              </w:rPr>
            </w:pPr>
            <w:r>
              <w:rPr>
                <w:rFonts w:ascii="Arial" w:cs="Arial" w:eastAsia="Arial" w:hAnsi="Arial"/>
                <w:sz w:val="16"/>
                <w:szCs w:val="16"/>
                <w:b w:val="1"/>
                <w:bCs w:val="1"/>
                <w:color w:val="auto"/>
                <w:w w:val="91"/>
              </w:rPr>
              <w:t>Interest Income</w:t>
            </w:r>
          </w:p>
        </w:tc>
        <w:tc>
          <w:tcPr>
            <w:tcW w:w="3320" w:type="dxa"/>
            <w:vAlign w:val="bottom"/>
            <w:gridSpan w:val="7"/>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00" w:type="dxa"/>
            <w:vAlign w:val="bottom"/>
            <w:tcBorders>
              <w:bottom w:val="single" w:sz="8" w:color="auto"/>
            </w:tcBorders>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4420" w:type="dxa"/>
            <w:vAlign w:val="bottom"/>
            <w:gridSpan w:val="8"/>
          </w:tcPr>
          <w:p>
            <w:pPr>
              <w:spacing w:after="0"/>
              <w:rPr>
                <w:sz w:val="20"/>
                <w:szCs w:val="20"/>
                <w:color w:val="auto"/>
              </w:rPr>
            </w:pPr>
            <w:r>
              <w:rPr>
                <w:rFonts w:ascii="Arial" w:cs="Arial" w:eastAsia="Arial" w:hAnsi="Arial"/>
                <w:sz w:val="16"/>
                <w:szCs w:val="16"/>
                <w:color w:val="auto"/>
              </w:rPr>
              <w:t>VITAS</w:t>
            </w: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18,378</w:t>
            </w:r>
          </w:p>
        </w:tc>
        <w:tc>
          <w:tcPr>
            <w:tcW w:w="100" w:type="dxa"/>
            <w:vAlign w:val="bottom"/>
          </w:tcPr>
          <w:p>
            <w:pPr>
              <w:spacing w:after="0"/>
              <w:rPr>
                <w:sz w:val="20"/>
                <w:szCs w:val="20"/>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20,565</w:t>
            </w:r>
          </w:p>
        </w:tc>
        <w:tc>
          <w:tcPr>
            <w:tcW w:w="200" w:type="dxa"/>
            <w:vAlign w:val="bottom"/>
          </w:tcPr>
          <w:p>
            <w:pPr>
              <w:spacing w:after="0"/>
              <w:rPr>
                <w:sz w:val="20"/>
                <w:szCs w:val="20"/>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18,515</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8,285</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25,682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26,897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26,800</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Intercompany eliminations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(25,305)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(26,153)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(26,287)</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 interest income</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377</w:t>
            </w:r>
          </w:p>
        </w:tc>
        <w:tc>
          <w:tcPr>
            <w:tcW w:w="100" w:type="dxa"/>
            <w:vAlign w:val="bottom"/>
          </w:tcPr>
          <w:p>
            <w:pPr>
              <w:spacing w:after="0"/>
              <w:rPr>
                <w:sz w:val="15"/>
                <w:szCs w:val="15"/>
                <w:color w:val="auto"/>
              </w:rPr>
            </w:pPr>
          </w:p>
        </w:tc>
        <w:tc>
          <w:tcPr>
            <w:tcW w:w="480" w:type="dxa"/>
            <w:vAlign w:val="bottom"/>
            <w:gridSpan w:val="2"/>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757</w:t>
            </w:r>
          </w:p>
        </w:tc>
        <w:tc>
          <w:tcPr>
            <w:tcW w:w="200" w:type="dxa"/>
            <w:vAlign w:val="bottom"/>
          </w:tcPr>
          <w:p>
            <w:pPr>
              <w:spacing w:after="0"/>
              <w:rPr>
                <w:sz w:val="15"/>
                <w:szCs w:val="15"/>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rPr>
              <w:t>Interest Expense</w:t>
            </w:r>
          </w:p>
        </w:tc>
        <w:tc>
          <w:tcPr>
            <w:tcW w:w="1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VITAS</w:t>
            </w:r>
          </w:p>
        </w:tc>
        <w:tc>
          <w:tcPr>
            <w:tcW w:w="3260" w:type="dxa"/>
            <w:vAlign w:val="bottom"/>
            <w:gridSpan w:val="6"/>
          </w:tcPr>
          <w:p>
            <w:pPr>
              <w:spacing w:after="0"/>
              <w:rPr>
                <w:sz w:val="21"/>
                <w:szCs w:val="21"/>
                <w:color w:val="auto"/>
              </w:rPr>
            </w:pPr>
          </w:p>
        </w:tc>
        <w:tc>
          <w:tcPr>
            <w:tcW w:w="2280" w:type="dxa"/>
            <w:vAlign w:val="bottom"/>
            <w:gridSpan w:val="2"/>
            <w:vMerge w:val="restart"/>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Pr>
          <w:p>
            <w:pPr>
              <w:spacing w:after="0"/>
              <w:rPr>
                <w:sz w:val="21"/>
                <w:szCs w:val="21"/>
                <w:color w:val="auto"/>
              </w:rPr>
            </w:pPr>
          </w:p>
        </w:tc>
        <w:tc>
          <w:tcPr>
            <w:tcW w:w="480" w:type="dxa"/>
            <w:vAlign w:val="bottom"/>
            <w:gridSpan w:val="2"/>
            <w:vMerge w:val="restart"/>
          </w:tcPr>
          <w:p>
            <w:pPr>
              <w:jc w:val="right"/>
              <w:ind w:right="224"/>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21"/>
                <w:szCs w:val="21"/>
                <w:color w:val="auto"/>
              </w:rPr>
            </w:pPr>
          </w:p>
        </w:tc>
        <w:tc>
          <w:tcPr>
            <w:tcW w:w="480" w:type="dxa"/>
            <w:vAlign w:val="bottom"/>
            <w:gridSpan w:val="2"/>
            <w:vMerge w:val="restart"/>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68"/>
        </w:trPr>
        <w:tc>
          <w:tcPr>
            <w:tcW w:w="4420" w:type="dxa"/>
            <w:vAlign w:val="bottom"/>
            <w:gridSpan w:val="8"/>
            <w:vMerge w:val="restart"/>
          </w:tcPr>
          <w:p>
            <w:pPr>
              <w:spacing w:after="0"/>
              <w:rPr>
                <w:sz w:val="20"/>
                <w:szCs w:val="20"/>
                <w:color w:val="auto"/>
              </w:rPr>
            </w:pPr>
            <w:r>
              <w:rPr>
                <w:rFonts w:ascii="Arial" w:cs="Arial" w:eastAsia="Arial" w:hAnsi="Arial"/>
                <w:sz w:val="16"/>
                <w:szCs w:val="16"/>
                <w:color w:val="auto"/>
              </w:rPr>
              <w:t>Roto-Rooter</w:t>
            </w:r>
          </w:p>
        </w:tc>
        <w:tc>
          <w:tcPr>
            <w:tcW w:w="228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340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47"/>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68"/>
        </w:trPr>
        <w:tc>
          <w:tcPr>
            <w:tcW w:w="4420" w:type="dxa"/>
            <w:vAlign w:val="bottom"/>
            <w:gridSpan w:val="8"/>
            <w:vMerge w:val="restart"/>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1,849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46"/>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 interest expense</w:t>
            </w:r>
          </w:p>
        </w:tc>
        <w:tc>
          <w:tcPr>
            <w:tcW w:w="19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420" w:type="dxa"/>
            <w:vAlign w:val="bottom"/>
            <w:gridSpan w:val="8"/>
            <w:vMerge w:val="continue"/>
          </w:tcPr>
          <w:p>
            <w:pPr>
              <w:spacing w:after="0"/>
              <w:rPr>
                <w:sz w:val="17"/>
                <w:szCs w:val="17"/>
                <w:color w:val="auto"/>
              </w:rPr>
            </w:pP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1,868</w:t>
            </w:r>
          </w:p>
        </w:tc>
        <w:tc>
          <w:tcPr>
            <w:tcW w:w="100" w:type="dxa"/>
            <w:vAlign w:val="bottom"/>
          </w:tcPr>
          <w:p>
            <w:pPr>
              <w:spacing w:after="0"/>
              <w:rPr>
                <w:sz w:val="17"/>
                <w:szCs w:val="17"/>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2,355</w:t>
            </w:r>
          </w:p>
        </w:tc>
        <w:tc>
          <w:tcPr>
            <w:tcW w:w="200" w:type="dxa"/>
            <w:vAlign w:val="bottom"/>
          </w:tcPr>
          <w:p>
            <w:pPr>
              <w:spacing w:after="0"/>
              <w:rPr>
                <w:sz w:val="17"/>
                <w:szCs w:val="17"/>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0"/>
        </w:trPr>
        <w:tc>
          <w:tcPr>
            <w:tcW w:w="152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0"/>
              </w:rPr>
              <w:t>Income Tax Provision</w:t>
            </w:r>
          </w:p>
        </w:tc>
        <w:tc>
          <w:tcPr>
            <w:tcW w:w="2900" w:type="dxa"/>
            <w:vAlign w:val="bottom"/>
            <w:gridSpan w:val="4"/>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20" w:type="dxa"/>
            <w:vAlign w:val="bottom"/>
            <w:tcBorders>
              <w:bottom w:val="single" w:sz="8" w:color="auto"/>
            </w:tcBorders>
            <w:gridSpan w:val="4"/>
            <w:vMerge w:val="continue"/>
          </w:tcPr>
          <w:p>
            <w:pPr>
              <w:spacing w:after="0"/>
              <w:rPr>
                <w:sz w:val="8"/>
                <w:szCs w:val="8"/>
                <w:color w:val="auto"/>
              </w:rPr>
            </w:pPr>
          </w:p>
        </w:tc>
        <w:tc>
          <w:tcPr>
            <w:tcW w:w="2900" w:type="dxa"/>
            <w:vAlign w:val="bottom"/>
            <w:gridSpan w:val="4"/>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4420" w:type="dxa"/>
            <w:vAlign w:val="bottom"/>
            <w:gridSpan w:val="8"/>
          </w:tcPr>
          <w:p>
            <w:pPr>
              <w:spacing w:after="0"/>
              <w:rPr>
                <w:sz w:val="20"/>
                <w:szCs w:val="20"/>
                <w:color w:val="auto"/>
              </w:rPr>
            </w:pPr>
            <w:r>
              <w:rPr>
                <w:rFonts w:ascii="Arial" w:cs="Arial" w:eastAsia="Arial" w:hAnsi="Arial"/>
                <w:sz w:val="16"/>
                <w:szCs w:val="16"/>
                <w:color w:val="auto"/>
              </w:rPr>
              <w:t>VITAS</w:t>
            </w: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52,426</w:t>
            </w:r>
          </w:p>
        </w:tc>
        <w:tc>
          <w:tcPr>
            <w:tcW w:w="100" w:type="dxa"/>
            <w:vAlign w:val="bottom"/>
          </w:tcPr>
          <w:p>
            <w:pPr>
              <w:spacing w:after="0"/>
              <w:rPr>
                <w:sz w:val="20"/>
                <w:szCs w:val="20"/>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76,473</w:t>
            </w:r>
          </w:p>
        </w:tc>
        <w:tc>
          <w:tcPr>
            <w:tcW w:w="200" w:type="dxa"/>
            <w:vAlign w:val="bottom"/>
          </w:tcPr>
          <w:p>
            <w:pPr>
              <w:spacing w:after="0"/>
              <w:rPr>
                <w:sz w:val="20"/>
                <w:szCs w:val="20"/>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48,711</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30,276</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103,846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113,511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78,987</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(22,082)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(36,987)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(37,301)</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 income tax provision</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81,764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76,524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41,686</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rPr>
              <w:t>Identifiable Assets</w:t>
            </w: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VITAS</w:t>
            </w:r>
          </w:p>
        </w:tc>
        <w:tc>
          <w:tcPr>
            <w:tcW w:w="3140" w:type="dxa"/>
            <w:vAlign w:val="bottom"/>
            <w:gridSpan w:val="5"/>
          </w:tcPr>
          <w:p>
            <w:pPr>
              <w:spacing w:after="0"/>
              <w:rPr>
                <w:sz w:val="20"/>
                <w:szCs w:val="20"/>
                <w:color w:val="auto"/>
              </w:rPr>
            </w:pP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693,490</w:t>
            </w:r>
          </w:p>
        </w:tc>
        <w:tc>
          <w:tcPr>
            <w:tcW w:w="100" w:type="dxa"/>
            <w:vAlign w:val="bottom"/>
          </w:tcPr>
          <w:p>
            <w:pPr>
              <w:spacing w:after="0"/>
              <w:rPr>
                <w:sz w:val="20"/>
                <w:szCs w:val="20"/>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672,246</w:t>
            </w:r>
          </w:p>
        </w:tc>
        <w:tc>
          <w:tcPr>
            <w:tcW w:w="200" w:type="dxa"/>
            <w:vAlign w:val="bottom"/>
          </w:tcPr>
          <w:p>
            <w:pPr>
              <w:spacing w:after="0"/>
              <w:rPr>
                <w:sz w:val="20"/>
                <w:szCs w:val="20"/>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663,455</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513,191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499,101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507,480</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1,206,681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1,171,347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1,170,935</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136,042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263,564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97,382</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 identifiable assets</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1,342,723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1,434,911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1,268,317</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rPr>
              <w:t>Additions to Long-Lived Assets</w:t>
            </w: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18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VITAS</w:t>
            </w:r>
          </w:p>
        </w:tc>
        <w:tc>
          <w:tcPr>
            <w:tcW w:w="2240" w:type="dxa"/>
            <w:vAlign w:val="bottom"/>
            <w:gridSpan w:val="2"/>
          </w:tcPr>
          <w:p>
            <w:pPr>
              <w:spacing w:after="0"/>
              <w:rPr>
                <w:sz w:val="20"/>
                <w:szCs w:val="20"/>
                <w:color w:val="auto"/>
              </w:rPr>
            </w:pP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28,583</w:t>
            </w:r>
          </w:p>
        </w:tc>
        <w:tc>
          <w:tcPr>
            <w:tcW w:w="100" w:type="dxa"/>
            <w:vAlign w:val="bottom"/>
          </w:tcPr>
          <w:p>
            <w:pPr>
              <w:spacing w:after="0"/>
              <w:rPr>
                <w:sz w:val="20"/>
                <w:szCs w:val="20"/>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28,865</w:t>
            </w:r>
          </w:p>
        </w:tc>
        <w:tc>
          <w:tcPr>
            <w:tcW w:w="200" w:type="dxa"/>
            <w:vAlign w:val="bottom"/>
          </w:tcPr>
          <w:p>
            <w:pPr>
              <w:spacing w:after="0"/>
              <w:rPr>
                <w:sz w:val="20"/>
                <w:szCs w:val="20"/>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25,530</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162,494</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58,832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56,547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188,024</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 additions to long-lived assets</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58,856</w:t>
            </w:r>
          </w:p>
        </w:tc>
        <w:tc>
          <w:tcPr>
            <w:tcW w:w="100" w:type="dxa"/>
            <w:vAlign w:val="bottom"/>
          </w:tcPr>
          <w:p>
            <w:pPr>
              <w:spacing w:after="0"/>
              <w:rPr>
                <w:sz w:val="15"/>
                <w:szCs w:val="15"/>
                <w:color w:val="auto"/>
              </w:rPr>
            </w:pPr>
          </w:p>
        </w:tc>
        <w:tc>
          <w:tcPr>
            <w:tcW w:w="480" w:type="dxa"/>
            <w:vAlign w:val="bottom"/>
            <w:gridSpan w:val="2"/>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61,793</w:t>
            </w:r>
          </w:p>
        </w:tc>
        <w:tc>
          <w:tcPr>
            <w:tcW w:w="200" w:type="dxa"/>
            <w:vAlign w:val="bottom"/>
          </w:tcPr>
          <w:p>
            <w:pPr>
              <w:spacing w:after="0"/>
              <w:rPr>
                <w:sz w:val="15"/>
                <w:szCs w:val="15"/>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189,024</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rPr>
              <w:t>Depreciation and Amortization</w:t>
            </w:r>
          </w:p>
        </w:tc>
        <w:tc>
          <w:tcPr>
            <w:tcW w:w="1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16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VITAS</w:t>
            </w:r>
          </w:p>
        </w:tc>
        <w:tc>
          <w:tcPr>
            <w:tcW w:w="2260" w:type="dxa"/>
            <w:vAlign w:val="bottom"/>
            <w:gridSpan w:val="3"/>
          </w:tcPr>
          <w:p>
            <w:pPr>
              <w:spacing w:after="0"/>
              <w:rPr>
                <w:sz w:val="20"/>
                <w:szCs w:val="20"/>
                <w:color w:val="auto"/>
              </w:rPr>
            </w:pPr>
          </w:p>
        </w:tc>
        <w:tc>
          <w:tcPr>
            <w:tcW w:w="228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23,185</w:t>
            </w:r>
          </w:p>
        </w:tc>
        <w:tc>
          <w:tcPr>
            <w:tcW w:w="100" w:type="dxa"/>
            <w:vAlign w:val="bottom"/>
          </w:tcPr>
          <w:p>
            <w:pPr>
              <w:spacing w:after="0"/>
              <w:rPr>
                <w:sz w:val="20"/>
                <w:szCs w:val="20"/>
                <w:color w:val="auto"/>
              </w:rPr>
            </w:pPr>
          </w:p>
        </w:tc>
        <w:tc>
          <w:tcPr>
            <w:tcW w:w="48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22,239</w:t>
            </w:r>
          </w:p>
        </w:tc>
        <w:tc>
          <w:tcPr>
            <w:tcW w:w="200" w:type="dxa"/>
            <w:vAlign w:val="bottom"/>
          </w:tcPr>
          <w:p>
            <w:pPr>
              <w:spacing w:after="0"/>
              <w:rPr>
                <w:sz w:val="20"/>
                <w:szCs w:val="20"/>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20,055</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35,785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34,208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24,994</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58,970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56,447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45,049</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Arial" w:cs="Arial" w:eastAsia="Arial" w:hAnsi="Arial"/>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
        </w:trPr>
        <w:tc>
          <w:tcPr>
            <w:tcW w:w="4420" w:type="dxa"/>
            <w:vAlign w:val="bottom"/>
            <w:gridSpan w:val="8"/>
            <w:vMerge w:val="restart"/>
          </w:tcPr>
          <w:p>
            <w:pPr>
              <w:ind w:left="220"/>
              <w:spacing w:after="0"/>
              <w:rPr>
                <w:sz w:val="20"/>
                <w:szCs w:val="20"/>
                <w:color w:val="auto"/>
              </w:rPr>
            </w:pPr>
            <w:r>
              <w:rPr>
                <w:rFonts w:ascii="Arial" w:cs="Arial" w:eastAsia="Arial" w:hAnsi="Arial"/>
                <w:sz w:val="16"/>
                <w:szCs w:val="16"/>
                <w:color w:val="auto"/>
              </w:rPr>
              <w:t>Total depreciation and amortization</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59,051</w:t>
            </w:r>
          </w:p>
        </w:tc>
        <w:tc>
          <w:tcPr>
            <w:tcW w:w="100" w:type="dxa"/>
            <w:vAlign w:val="bottom"/>
          </w:tcPr>
          <w:p>
            <w:pPr>
              <w:spacing w:after="0"/>
              <w:rPr>
                <w:sz w:val="15"/>
                <w:szCs w:val="15"/>
                <w:color w:val="auto"/>
              </w:rPr>
            </w:pPr>
          </w:p>
        </w:tc>
        <w:tc>
          <w:tcPr>
            <w:tcW w:w="480" w:type="dxa"/>
            <w:vAlign w:val="bottom"/>
            <w:gridSpan w:val="2"/>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56,583</w:t>
            </w:r>
          </w:p>
        </w:tc>
        <w:tc>
          <w:tcPr>
            <w:tcW w:w="200" w:type="dxa"/>
            <w:vAlign w:val="bottom"/>
          </w:tcPr>
          <w:p>
            <w:pPr>
              <w:spacing w:after="0"/>
              <w:rPr>
                <w:sz w:val="15"/>
                <w:szCs w:val="15"/>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45,205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Intangible Assets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Amortization of definite-lived intangible assets for the years ended December 31, 2021, 2020, and 2019, was $10.0 million, $10.0 million and $4.3 million, respectively. The following is a schedule by year of projected amortization expense for definite-lived intangible assets (in thousands):</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Arial" w:cs="Arial" w:eastAsia="Arial" w:hAnsi="Arial"/>
                <w:sz w:val="16"/>
                <w:szCs w:val="16"/>
                <w:color w:val="auto"/>
              </w:rPr>
              <w:t>2022</w:t>
            </w:r>
          </w:p>
        </w:tc>
        <w:tc>
          <w:tcPr>
            <w:tcW w:w="4660" w:type="dxa"/>
            <w:vAlign w:val="bottom"/>
          </w:tcPr>
          <w:p>
            <w:pPr>
              <w:jc w:val="right"/>
              <w:ind w:right="123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10,017</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6"/>
                <w:szCs w:val="16"/>
                <w:color w:val="auto"/>
              </w:rPr>
              <w:t>2023</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Arial" w:cs="Arial" w:eastAsia="Arial" w:hAnsi="Arial"/>
                <w:sz w:val="16"/>
                <w:szCs w:val="16"/>
                <w:color w:val="auto"/>
              </w:rPr>
              <w:t>9,963</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6"/>
                <w:szCs w:val="16"/>
                <w:color w:val="auto"/>
              </w:rPr>
              <w:t>2024</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Arial" w:cs="Arial" w:eastAsia="Arial" w:hAnsi="Arial"/>
                <w:sz w:val="16"/>
                <w:szCs w:val="16"/>
                <w:color w:val="auto"/>
              </w:rPr>
              <w:t>9,916</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6"/>
                <w:szCs w:val="16"/>
                <w:color w:val="auto"/>
              </w:rPr>
              <w:t>2025</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Arial" w:cs="Arial" w:eastAsia="Arial" w:hAnsi="Arial"/>
                <w:sz w:val="16"/>
                <w:szCs w:val="16"/>
                <w:color w:val="auto"/>
              </w:rPr>
              <w:t>9,902</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6"/>
                <w:szCs w:val="16"/>
                <w:color w:val="auto"/>
              </w:rPr>
              <w:t>2026</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Arial" w:cs="Arial" w:eastAsia="Arial" w:hAnsi="Arial"/>
                <w:sz w:val="16"/>
                <w:szCs w:val="16"/>
                <w:color w:val="auto"/>
              </w:rPr>
              <w:t>9,557</w:t>
            </w:r>
          </w:p>
        </w:tc>
      </w:t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Thereafter</w:t>
            </w:r>
          </w:p>
        </w:tc>
        <w:tc>
          <w:tcPr>
            <w:tcW w:w="46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2,147</w:t>
            </w: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in identifiable intangible assets comprises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6"/>
                <w:szCs w:val="16"/>
                <w:color w:val="auto"/>
              </w:rPr>
              <w:t>Accumulated</w:t>
            </w:r>
          </w:p>
        </w:tc>
        <w:tc>
          <w:tcPr>
            <w:tcW w:w="280" w:type="dxa"/>
            <w:vAlign w:val="bottom"/>
          </w:tcPr>
          <w:p>
            <w:pPr>
              <w:spacing w:after="0"/>
              <w:rPr>
                <w:sz w:val="17"/>
                <w:szCs w:val="17"/>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Net Book</w:t>
            </w:r>
          </w:p>
        </w:tc>
        <w:tc>
          <w:tcPr>
            <w:tcW w:w="0" w:type="dxa"/>
            <w:vAlign w:val="bottom"/>
          </w:tcPr>
          <w:p>
            <w:pPr>
              <w:spacing w:after="0"/>
              <w:rPr>
                <w:sz w:val="1"/>
                <w:szCs w:val="1"/>
                <w:color w:val="auto"/>
              </w:rPr>
            </w:pPr>
          </w:p>
        </w:tc>
      </w:tr>
      <w:tr>
        <w:trPr>
          <w:trHeight w:val="208"/>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Asset</w:t>
            </w:r>
          </w:p>
        </w:tc>
        <w:tc>
          <w:tcPr>
            <w:tcW w:w="2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Referral networks</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21,850</w:t>
            </w:r>
          </w:p>
        </w:tc>
        <w:tc>
          <w:tcPr>
            <w:tcW w:w="18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(21,365)</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485</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Covenants not to compete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10,076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(9,783)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293</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Customer lists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4,747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(1,792)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2,955</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Reacquired franchise rights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72,477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(24,708)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47,769</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400" w:type="dxa"/>
            <w:vAlign w:val="bottom"/>
            <w:gridSpan w:val="2"/>
          </w:tcPr>
          <w:p>
            <w:pPr>
              <w:ind w:left="180"/>
              <w:spacing w:after="0"/>
              <w:rPr>
                <w:sz w:val="20"/>
                <w:szCs w:val="20"/>
                <w:color w:val="auto"/>
              </w:rPr>
            </w:pPr>
            <w:r>
              <w:rPr>
                <w:rFonts w:ascii="Arial" w:cs="Arial" w:eastAsia="Arial" w:hAnsi="Arial"/>
                <w:sz w:val="16"/>
                <w:szCs w:val="16"/>
                <w:b w:val="1"/>
                <w:bCs w:val="1"/>
                <w:color w:val="auto"/>
              </w:rPr>
              <w:t>Subtotal - definite-lived intangibles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109,150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(57,648)</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51,502</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VITAS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51,300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51,300</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Roto-Rooter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Operating licenses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5,144</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165,744</w:t>
            </w:r>
          </w:p>
        </w:tc>
        <w:tc>
          <w:tcPr>
            <w:tcW w:w="1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(57,648)</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108,096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color w:val="auto"/>
              </w:rPr>
              <w:t>December 31, 2020</w:t>
            </w:r>
          </w:p>
        </w:tc>
        <w:tc>
          <w:tcPr>
            <w:tcW w:w="20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200" w:type="dxa"/>
            <w:vAlign w:val="bottom"/>
            <w:tcBorders>
              <w:bottom w:val="single" w:sz="8" w:color="auto"/>
            </w:tcBorders>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0" w:type="dxa"/>
            <w:vAlign w:val="bottom"/>
            <w:gridSpan w:val="2"/>
          </w:tcPr>
          <w:p>
            <w:pPr>
              <w:spacing w:after="0"/>
              <w:rPr>
                <w:sz w:val="20"/>
                <w:szCs w:val="20"/>
                <w:color w:val="auto"/>
              </w:rPr>
            </w:pPr>
            <w:r>
              <w:rPr>
                <w:rFonts w:ascii="Arial" w:cs="Arial" w:eastAsia="Arial" w:hAnsi="Arial"/>
                <w:sz w:val="16"/>
                <w:szCs w:val="16"/>
                <w:color w:val="auto"/>
              </w:rPr>
              <w:t>Referral networks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21,850</w:t>
            </w:r>
          </w:p>
        </w:tc>
        <w:tc>
          <w:tcPr>
            <w:tcW w:w="18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(21,294)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6"/>
                <w:szCs w:val="16"/>
                <w:color w:val="auto"/>
              </w:rPr>
              <w:t>Covenants not to compete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(9,632)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6"/>
                <w:szCs w:val="16"/>
                <w:color w:val="auto"/>
              </w:rPr>
              <w:t>Customer lists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(1,577)</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6"/>
                <w:szCs w:val="16"/>
                <w:color w:val="auto"/>
              </w:rPr>
              <w:t>Reacquired franchise rights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(15,104)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57,374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Subtotal - definite-lived intangibles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109,150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(47,607)</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61,543</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6"/>
                <w:szCs w:val="16"/>
                <w:color w:val="auto"/>
              </w:rPr>
              <w:t>VITAS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51,300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51,300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6"/>
                <w:szCs w:val="16"/>
                <w:color w:val="auto"/>
              </w:rPr>
              <w:t>Roto-Rooter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6"/>
                <w:szCs w:val="16"/>
                <w:color w:val="auto"/>
              </w:rPr>
              <w:t>Operating licenses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5,092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165,692</w:t>
            </w:r>
          </w:p>
        </w:tc>
        <w:tc>
          <w:tcPr>
            <w:tcW w:w="1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(47,607)</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118,085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acquisitions were completed during the year ended December 31, 2021.</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1, 2020, we completed the acquisition of a Roto-Rooter franchise and the related assets in Bloomington, IN for $2.2 million in cash.</w:t>
      </w:r>
    </w:p>
    <w:p>
      <w:pPr>
        <w:spacing w:after="0" w:line="12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August 2, 2019, we entered into an Asset Purchase Agreement (the “Agreement”) to purchase substantially all of the assets of HSW RR, Inc., a Delaware corporation (“HSW”) and certain related assets of its affiliates, for $120.0 million, subject to a working capital adjustment that resulted in an additional $1.4 million payment to HSW. HSW owned and operated fourteen Roto-Rooter franchises mainly in the southwestern section of the United States, including Los Angeles, Dallas and Phoenix. Included in the assets purchased were the assets of Western Drain Supply, Inc., a plumbing supply company. The purchase was made using a combination of cash on-hand and borrowings under Chemed’s existing $450 million revolving credit facility. On September 16, 2019, we completed the acquisition.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July 1, 2019, we completed the acquisition of a Roto-Rooter franchise and the related assets in Oakland, CA for $18.0 million in cash.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jc w:val="both"/>
        <w:ind w:firstLine="648"/>
        <w:spacing w:after="0" w:line="246" w:lineRule="auto"/>
        <w:rPr>
          <w:sz w:val="20"/>
          <w:szCs w:val="20"/>
          <w:color w:val="auto"/>
        </w:rPr>
      </w:pPr>
      <w:r>
        <w:rPr>
          <w:rFonts w:ascii="Arial" w:cs="Arial" w:eastAsia="Arial" w:hAnsi="Arial"/>
          <w:sz w:val="18"/>
          <w:szCs w:val="18"/>
          <w:color w:val="auto"/>
        </w:rPr>
        <w:t>The acquisitions were made as a continuation of Roto-Rooter’s strategy to re-acquire franchises in large markets in the United States. The allocation for the two acquisitions completed in 2019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HSW</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Oakland</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5460" w:type="dxa"/>
            <w:vAlign w:val="bottom"/>
            <w:vMerge w:val="continue"/>
          </w:tcPr>
          <w:p>
            <w:pPr>
              <w:spacing w:after="0"/>
              <w:rPr>
                <w:sz w:val="13"/>
                <w:szCs w:val="13"/>
                <w:color w:val="auto"/>
              </w:rPr>
            </w:pPr>
          </w:p>
        </w:tc>
        <w:tc>
          <w:tcPr>
            <w:tcW w:w="1100" w:type="dxa"/>
            <w:vAlign w:val="bottom"/>
          </w:tcPr>
          <w:p>
            <w:pPr>
              <w:jc w:val="right"/>
              <w:ind w:right="945"/>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6" w:lineRule="exact"/>
              <w:rPr>
                <w:sz w:val="20"/>
                <w:szCs w:val="20"/>
                <w:color w:val="auto"/>
              </w:rPr>
            </w:pPr>
            <w:r>
              <w:rPr>
                <w:rFonts w:ascii="Arial" w:cs="Arial" w:eastAsia="Arial" w:hAnsi="Arial"/>
                <w:sz w:val="18"/>
                <w:szCs w:val="18"/>
                <w:color w:val="auto"/>
              </w:rPr>
              <w:t>56,191</w:t>
            </w:r>
          </w:p>
        </w:tc>
        <w:tc>
          <w:tcPr>
            <w:tcW w:w="220" w:type="dxa"/>
            <w:vAlign w:val="bottom"/>
          </w:tcPr>
          <w:p>
            <w:pPr>
              <w:spacing w:after="0"/>
              <w:rPr>
                <w:sz w:val="13"/>
                <w:szCs w:val="13"/>
                <w:color w:val="auto"/>
              </w:rPr>
            </w:pPr>
          </w:p>
        </w:tc>
        <w:tc>
          <w:tcPr>
            <w:tcW w:w="1200" w:type="dxa"/>
            <w:vAlign w:val="bottom"/>
          </w:tcPr>
          <w:p>
            <w:pPr>
              <w:jc w:val="right"/>
              <w:ind w:right="1045"/>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6" w:lineRule="exact"/>
              <w:rPr>
                <w:sz w:val="20"/>
                <w:szCs w:val="20"/>
                <w:color w:val="auto"/>
              </w:rPr>
            </w:pPr>
            <w:r>
              <w:rPr>
                <w:rFonts w:ascii="Arial" w:cs="Arial" w:eastAsia="Arial" w:hAnsi="Arial"/>
                <w:sz w:val="18"/>
                <w:szCs w:val="18"/>
                <w:color w:val="auto"/>
                <w:w w:val="90"/>
              </w:rPr>
              <w:t>10,535</w:t>
            </w:r>
          </w:p>
        </w:tc>
        <w:tc>
          <w:tcPr>
            <w:tcW w:w="22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56" w:lineRule="exact"/>
              <w:rPr>
                <w:sz w:val="20"/>
                <w:szCs w:val="20"/>
                <w:color w:val="auto"/>
              </w:rPr>
            </w:pPr>
            <w:r>
              <w:rPr>
                <w:rFonts w:ascii="Arial" w:cs="Arial" w:eastAsia="Arial" w:hAnsi="Arial"/>
                <w:sz w:val="18"/>
                <w:szCs w:val="18"/>
                <w:color w:val="auto"/>
              </w:rPr>
              <w:t>66,726</w:t>
            </w:r>
          </w:p>
        </w:tc>
        <w:tc>
          <w:tcPr>
            <w:tcW w:w="0" w:type="dxa"/>
            <w:vAlign w:val="bottom"/>
          </w:tcPr>
          <w:p>
            <w:pPr>
              <w:spacing w:after="0"/>
              <w:rPr>
                <w:sz w:val="1"/>
                <w:szCs w:val="1"/>
                <w:color w:val="auto"/>
              </w:rPr>
            </w:pPr>
          </w:p>
        </w:tc>
      </w:tr>
      <w:tr>
        <w:trPr>
          <w:trHeight w:val="188"/>
        </w:trPr>
        <w:tc>
          <w:tcPr>
            <w:tcW w:w="5460" w:type="dxa"/>
            <w:vAlign w:val="bottom"/>
          </w:tcPr>
          <w:p>
            <w:pPr>
              <w:spacing w:after="0" w:line="189" w:lineRule="exact"/>
              <w:rPr>
                <w:sz w:val="20"/>
                <w:szCs w:val="20"/>
                <w:color w:val="auto"/>
              </w:rPr>
            </w:pPr>
            <w:r>
              <w:rPr>
                <w:rFonts w:ascii="Arial" w:cs="Arial" w:eastAsia="Arial" w:hAnsi="Arial"/>
                <w:sz w:val="18"/>
                <w:szCs w:val="18"/>
                <w:color w:val="auto"/>
              </w:rPr>
              <w:t>Reacquired franchise rights</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52,980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6,190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59,170</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Property, plant, and equipment</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5,998</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675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Working capital</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3,760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Customer relationships</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2,220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500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Non-compete agreements</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140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Other assets and liabilities - net</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121,417</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18,045</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139,462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above is $1.4 million related to the HSW acquisition excess working capital. The amount was paid in 2020.</w:t>
      </w:r>
    </w:p>
    <w:p>
      <w:pPr>
        <w:spacing w:after="0" w:line="17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Reacquired franchise rights, included in identifiable intangibles on the Consolidated Balance Sheets, are amortized over the period remaining in each individual franchise agreement. The average amortization period for reacquired franchise rights for the acquisitions made in 2019 is 7.4 years.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and net income for the two acquisitions completed in 2019 for the period we owned them in 2019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vMerge w:val="restart"/>
          </w:tcPr>
          <w:p>
            <w:pPr>
              <w:spacing w:after="0"/>
              <w:rPr>
                <w:sz w:val="20"/>
                <w:szCs w:val="20"/>
                <w:color w:val="auto"/>
              </w:rPr>
            </w:pPr>
            <w:r>
              <w:rPr>
                <w:rFonts w:ascii="Arial" w:cs="Arial" w:eastAsia="Arial" w:hAnsi="Arial"/>
                <w:sz w:val="18"/>
                <w:szCs w:val="18"/>
                <w:color w:val="auto"/>
              </w:rPr>
              <w:t>Service revenues and sales</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HSW</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Oakland</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1160" w:type="dxa"/>
            <w:vAlign w:val="bottom"/>
          </w:tcPr>
          <w:p>
            <w:pPr>
              <w:jc w:val="right"/>
              <w:ind w:right="1004"/>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6" w:lineRule="exact"/>
              <w:rPr>
                <w:sz w:val="20"/>
                <w:szCs w:val="20"/>
                <w:color w:val="auto"/>
              </w:rPr>
            </w:pPr>
            <w:r>
              <w:rPr>
                <w:rFonts w:ascii="Arial" w:cs="Arial" w:eastAsia="Arial" w:hAnsi="Arial"/>
                <w:sz w:val="18"/>
                <w:szCs w:val="18"/>
                <w:color w:val="auto"/>
                <w:w w:val="98"/>
              </w:rPr>
              <w:t>20,141</w:t>
            </w:r>
          </w:p>
        </w:tc>
        <w:tc>
          <w:tcPr>
            <w:tcW w:w="220" w:type="dxa"/>
            <w:vAlign w:val="bottom"/>
          </w:tcPr>
          <w:p>
            <w:pPr>
              <w:spacing w:after="0"/>
              <w:rPr>
                <w:sz w:val="13"/>
                <w:szCs w:val="13"/>
                <w:color w:val="auto"/>
              </w:rPr>
            </w:pPr>
          </w:p>
        </w:tc>
        <w:tc>
          <w:tcPr>
            <w:tcW w:w="1260" w:type="dxa"/>
            <w:vAlign w:val="bottom"/>
          </w:tcPr>
          <w:p>
            <w:pPr>
              <w:jc w:val="right"/>
              <w:ind w:right="1104"/>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6" w:lineRule="exact"/>
              <w:rPr>
                <w:sz w:val="20"/>
                <w:szCs w:val="20"/>
                <w:color w:val="auto"/>
              </w:rPr>
            </w:pPr>
            <w:r>
              <w:rPr>
                <w:rFonts w:ascii="Arial" w:cs="Arial" w:eastAsia="Arial" w:hAnsi="Arial"/>
                <w:sz w:val="18"/>
                <w:szCs w:val="18"/>
                <w:color w:val="auto"/>
                <w:w w:val="97"/>
              </w:rPr>
              <w:t>5,150</w:t>
            </w:r>
          </w:p>
        </w:tc>
        <w:tc>
          <w:tcPr>
            <w:tcW w:w="22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56" w:lineRule="exact"/>
              <w:rPr>
                <w:sz w:val="20"/>
                <w:szCs w:val="20"/>
                <w:color w:val="auto"/>
              </w:rPr>
            </w:pPr>
            <w:r>
              <w:rPr>
                <w:rFonts w:ascii="Arial" w:cs="Arial" w:eastAsia="Arial" w:hAnsi="Arial"/>
                <w:sz w:val="18"/>
                <w:szCs w:val="18"/>
                <w:color w:val="auto"/>
              </w:rPr>
              <w:t>25,291</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income/(loss)</w:t>
            </w:r>
          </w:p>
        </w:tc>
        <w:tc>
          <w:tcPr>
            <w:tcW w:w="1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(2,777)</w:t>
            </w:r>
          </w:p>
        </w:tc>
        <w:tc>
          <w:tcPr>
            <w:tcW w:w="1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2019 net income for the two acquisitions is $3.4 million of one-time acquisition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franchise fee revenue, the valuation of reacquired franchise rights and amortization for the acquired franchises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jc w:val="center"/>
              <w:ind w:right="251"/>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tcPr>
          <w:p>
            <w:pPr>
              <w:ind w:left="440"/>
              <w:spacing w:after="0" w:line="189" w:lineRule="exact"/>
              <w:rPr>
                <w:sz w:val="20"/>
                <w:szCs w:val="20"/>
                <w:color w:val="auto"/>
              </w:rPr>
            </w:pPr>
            <w:r>
              <w:rPr>
                <w:rFonts w:ascii="Arial" w:cs="Arial" w:eastAsia="Arial" w:hAnsi="Arial"/>
                <w:sz w:val="18"/>
                <w:szCs w:val="18"/>
                <w:b w:val="1"/>
                <w:bCs w:val="1"/>
                <w:color w:val="auto"/>
              </w:rPr>
              <w:t>Valuation</w:t>
            </w:r>
          </w:p>
        </w:tc>
        <w:tc>
          <w:tcPr>
            <w:tcW w:w="340" w:type="dxa"/>
            <w:vAlign w:val="bottom"/>
          </w:tcPr>
          <w:p>
            <w:pPr>
              <w:spacing w:after="0"/>
              <w:rPr>
                <w:sz w:val="16"/>
                <w:szCs w:val="16"/>
                <w:color w:val="auto"/>
              </w:rPr>
            </w:pPr>
          </w:p>
        </w:tc>
        <w:tc>
          <w:tcPr>
            <w:tcW w:w="2100" w:type="dxa"/>
            <w:vAlign w:val="bottom"/>
          </w:tcPr>
          <w:p>
            <w:pPr>
              <w:jc w:val="center"/>
              <w:ind w:right="231"/>
              <w:spacing w:after="0" w:line="189" w:lineRule="exact"/>
              <w:rPr>
                <w:sz w:val="20"/>
                <w:szCs w:val="20"/>
                <w:color w:val="auto"/>
              </w:rPr>
            </w:pPr>
            <w:r>
              <w:rPr>
                <w:rFonts w:ascii="Arial" w:cs="Arial" w:eastAsia="Arial" w:hAnsi="Arial"/>
                <w:sz w:val="18"/>
                <w:szCs w:val="18"/>
                <w:b w:val="1"/>
                <w:bCs w:val="1"/>
                <w:color w:val="auto"/>
                <w:w w:val="92"/>
              </w:rPr>
              <w:t>Amortization of</w:t>
            </w:r>
          </w:p>
        </w:tc>
        <w:tc>
          <w:tcPr>
            <w:tcW w:w="0" w:type="dxa"/>
            <w:vAlign w:val="bottom"/>
          </w:tcPr>
          <w:p>
            <w:pPr>
              <w:spacing w:after="0"/>
              <w:rPr>
                <w:sz w:val="1"/>
                <w:szCs w:val="1"/>
                <w:color w:val="auto"/>
              </w:rPr>
            </w:pPr>
          </w:p>
        </w:tc>
      </w:tr>
      <w:tr>
        <w:trPr>
          <w:trHeight w:val="220"/>
        </w:trPr>
        <w:tc>
          <w:tcPr>
            <w:tcW w:w="4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2018 Franchise</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of Reacquired</w:t>
            </w:r>
          </w:p>
        </w:tc>
        <w:tc>
          <w:tcPr>
            <w:tcW w:w="340" w:type="dxa"/>
            <w:vAlign w:val="bottom"/>
          </w:tcPr>
          <w:p>
            <w:pPr>
              <w:spacing w:after="0"/>
              <w:rPr>
                <w:sz w:val="19"/>
                <w:szCs w:val="19"/>
                <w:color w:val="auto"/>
              </w:rPr>
            </w:pPr>
          </w:p>
        </w:tc>
        <w:tc>
          <w:tcPr>
            <w:tcW w:w="2100" w:type="dxa"/>
            <w:vAlign w:val="bottom"/>
          </w:tcPr>
          <w:p>
            <w:pPr>
              <w:jc w:val="center"/>
              <w:ind w:right="251"/>
              <w:spacing w:after="0"/>
              <w:rPr>
                <w:sz w:val="20"/>
                <w:szCs w:val="20"/>
                <w:color w:val="auto"/>
              </w:rPr>
            </w:pPr>
            <w:r>
              <w:rPr>
                <w:rFonts w:ascii="Arial" w:cs="Arial" w:eastAsia="Arial" w:hAnsi="Arial"/>
                <w:sz w:val="18"/>
                <w:szCs w:val="18"/>
                <w:b w:val="1"/>
                <w:bCs w:val="1"/>
                <w:color w:val="auto"/>
                <w:w w:val="89"/>
              </w:rPr>
              <w:t>Reacquired</w:t>
            </w:r>
          </w:p>
        </w:tc>
        <w:tc>
          <w:tcPr>
            <w:tcW w:w="0" w:type="dxa"/>
            <w:vAlign w:val="bottom"/>
          </w:tcPr>
          <w:p>
            <w:pPr>
              <w:spacing w:after="0"/>
              <w:rPr>
                <w:sz w:val="1"/>
                <w:szCs w:val="1"/>
                <w:color w:val="auto"/>
              </w:rPr>
            </w:pPr>
          </w:p>
        </w:tc>
      </w:tr>
      <w:tr>
        <w:trPr>
          <w:trHeight w:val="189"/>
        </w:trPr>
        <w:tc>
          <w:tcPr>
            <w:tcW w:w="4100" w:type="dxa"/>
            <w:vAlign w:val="bottom"/>
            <w:vMerge w:val="restart"/>
          </w:tcPr>
          <w:p>
            <w:pPr>
              <w:spacing w:after="0"/>
              <w:rPr>
                <w:sz w:val="20"/>
                <w:szCs w:val="20"/>
                <w:color w:val="auto"/>
              </w:rPr>
            </w:pPr>
            <w:r>
              <w:rPr>
                <w:rFonts w:ascii="Arial" w:cs="Arial" w:eastAsia="Arial" w:hAnsi="Arial"/>
                <w:sz w:val="18"/>
                <w:szCs w:val="18"/>
                <w:color w:val="auto"/>
              </w:rPr>
              <w:t>HSW</w:t>
            </w:r>
          </w:p>
        </w:tc>
        <w:tc>
          <w:tcPr>
            <w:tcW w:w="17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Revenue</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Franchise Rights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231"/>
              <w:spacing w:after="0"/>
              <w:rPr>
                <w:sz w:val="20"/>
                <w:szCs w:val="20"/>
                <w:color w:val="auto"/>
              </w:rPr>
            </w:pPr>
            <w:r>
              <w:rPr>
                <w:rFonts w:ascii="Arial" w:cs="Arial" w:eastAsia="Arial" w:hAnsi="Arial"/>
                <w:sz w:val="16"/>
                <w:szCs w:val="16"/>
                <w:b w:val="1"/>
                <w:bCs w:val="1"/>
                <w:color w:val="auto"/>
                <w:w w:val="90"/>
              </w:rPr>
              <w:t>Franchise Rights</w:t>
            </w: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720" w:type="dxa"/>
            <w:vAlign w:val="bottom"/>
          </w:tcPr>
          <w:p>
            <w:pPr>
              <w:jc w:val="right"/>
              <w:ind w:right="1561"/>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w w:val="93"/>
              </w:rPr>
              <w:t>1,782</w:t>
            </w:r>
          </w:p>
        </w:tc>
        <w:tc>
          <w:tcPr>
            <w:tcW w:w="4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920" w:type="dxa"/>
            <w:vAlign w:val="bottom"/>
          </w:tcPr>
          <w:p>
            <w:pPr>
              <w:jc w:val="right"/>
              <w:spacing w:after="0" w:line="156" w:lineRule="exact"/>
              <w:rPr>
                <w:sz w:val="20"/>
                <w:szCs w:val="20"/>
                <w:color w:val="auto"/>
              </w:rPr>
            </w:pPr>
            <w:r>
              <w:rPr>
                <w:rFonts w:ascii="Arial" w:cs="Arial" w:eastAsia="Arial" w:hAnsi="Arial"/>
                <w:sz w:val="18"/>
                <w:szCs w:val="18"/>
                <w:color w:val="auto"/>
              </w:rPr>
              <w:t>52,980</w:t>
            </w:r>
          </w:p>
        </w:tc>
        <w:tc>
          <w:tcPr>
            <w:tcW w:w="120" w:type="dxa"/>
            <w:vAlign w:val="bottom"/>
          </w:tcPr>
          <w:p>
            <w:pPr>
              <w:spacing w:after="0"/>
              <w:rPr>
                <w:sz w:val="13"/>
                <w:szCs w:val="13"/>
                <w:color w:val="auto"/>
              </w:rPr>
            </w:pP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00" w:type="dxa"/>
            <w:vAlign w:val="bottom"/>
          </w:tcPr>
          <w:p>
            <w:pPr>
              <w:jc w:val="right"/>
              <w:spacing w:after="0" w:line="156" w:lineRule="exact"/>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Oakland</w:t>
            </w:r>
          </w:p>
        </w:tc>
        <w:tc>
          <w:tcPr>
            <w:tcW w:w="1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183"/>
        </w:trPr>
        <w:tc>
          <w:tcPr>
            <w:tcW w:w="4100" w:type="dxa"/>
            <w:vAlign w:val="bottom"/>
          </w:tcPr>
          <w:p>
            <w:pPr>
              <w:ind w:left="220"/>
              <w:spacing w:after="0" w:line="182" w:lineRule="exact"/>
              <w:rPr>
                <w:sz w:val="20"/>
                <w:szCs w:val="20"/>
                <w:color w:val="auto"/>
              </w:rPr>
            </w:pPr>
            <w:r>
              <w:rPr>
                <w:rFonts w:ascii="Arial" w:cs="Arial" w:eastAsia="Arial" w:hAnsi="Arial"/>
                <w:sz w:val="18"/>
                <w:szCs w:val="18"/>
                <w:color w:val="auto"/>
              </w:rPr>
              <w:t>Subtotal</w:t>
            </w:r>
          </w:p>
        </w:tc>
        <w:tc>
          <w:tcPr>
            <w:tcW w:w="172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w w:val="93"/>
              </w:rPr>
              <w:t>1,877</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59,170</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All other franchise territories</w:t>
            </w:r>
          </w:p>
        </w:tc>
        <w:tc>
          <w:tcPr>
            <w:tcW w:w="17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4,505</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720" w:type="dxa"/>
            <w:vAlign w:val="bottom"/>
            <w:tcBorders>
              <w:bottom w:val="single" w:sz="8" w:color="auto"/>
            </w:tcBorders>
          </w:tcPr>
          <w:p>
            <w:pPr>
              <w:jc w:val="right"/>
              <w:ind w:right="1561"/>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3"/>
              </w:rPr>
              <w:t>6,382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a result of the acquisitions, 2018 is the last full-year of franchise revenue received from HSW and Oakland. Total franchise revenue in 2019 was $6.1 million.</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Customer relationships, included in identifiable intangibles on the Consolidated Balance Sheets, are amortized over an average amortization period of 20.4 years. Non-compete agreements are amortized over the period of the agreement. The average amortization period for non-compete agreements for the transactions made in 2019 is 4.0 years.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Goodwill is assessed for impairment on a yearly basis as of October 1. The primary factor that contributed to the purchase price resulting in the recognition of goodwill is operational efficiencies expected as a result of consolidating stand- alone franchises and Roto-Rooter’s network of nationwide branches. All goodwill recognized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Discontinued Operations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At December 31, 2021 and 2020, the accrual for our estimated liability for potential environmental cleanup and related costs arising from the 1991 sale of DuBois amounted to $1.7 million. Of the 2021 balance, $826,000 is included in other current liabilities and $901,000 is included in other liabilities (long-term). The estimated amounts and timing of payments of these liabilities follows (in thousands):</w:t>
      </w:r>
    </w:p>
    <w:p>
      <w:pPr>
        <w:spacing w:after="0" w:line="144"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8420" w:type="dxa"/>
            <w:vAlign w:val="bottom"/>
          </w:tcPr>
          <w:p>
            <w:pPr>
              <w:spacing w:after="0"/>
              <w:rPr>
                <w:sz w:val="20"/>
                <w:szCs w:val="20"/>
                <w:color w:val="auto"/>
              </w:rPr>
            </w:pPr>
            <w:r>
              <w:rPr>
                <w:rFonts w:ascii="Arial" w:cs="Arial" w:eastAsia="Arial" w:hAnsi="Arial"/>
                <w:sz w:val="16"/>
                <w:szCs w:val="16"/>
                <w:color w:val="auto"/>
              </w:rPr>
              <w:t>2022</w:t>
            </w:r>
          </w:p>
        </w:tc>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6"/>
                <w:szCs w:val="16"/>
                <w:color w:val="auto"/>
              </w:rPr>
              <w:t>2023</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300</w:t>
            </w:r>
          </w:p>
        </w:tc>
      </w:tr>
      <w:tr>
        <w:trPr>
          <w:trHeight w:val="185"/>
        </w:trPr>
        <w:tc>
          <w:tcPr>
            <w:tcW w:w="8420" w:type="dxa"/>
            <w:vAlign w:val="bottom"/>
          </w:tcPr>
          <w:p>
            <w:pPr>
              <w:spacing w:after="0"/>
              <w:rPr>
                <w:sz w:val="20"/>
                <w:szCs w:val="20"/>
                <w:color w:val="auto"/>
              </w:rPr>
            </w:pPr>
            <w:r>
              <w:rPr>
                <w:rFonts w:ascii="Arial" w:cs="Arial" w:eastAsia="Arial" w:hAnsi="Arial"/>
                <w:sz w:val="16"/>
                <w:szCs w:val="16"/>
                <w:color w:val="auto"/>
              </w:rPr>
              <w:t>Thereafter</w:t>
            </w:r>
          </w:p>
        </w:tc>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r>
      <w:tr>
        <w:trPr>
          <w:trHeight w:val="155"/>
        </w:trPr>
        <w:tc>
          <w:tcPr>
            <w:tcW w:w="8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1,727</w:t>
            </w: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We are contingently liable for additional DuBois-related environmental cleanup and related costs up to a maximum of $14.9 million. On the basis of a continuing evaluation of the potential liability, we believe it is not probable this additional liability will be paid. Accordingly, no provision for this contingent liability has been recorded. The potential liability is not insured, and the recorded liability does not assume the recovery of insurance proceeds. Also, the environmental liability has not been discounted because it is not possible to reliably project the timing of payments. We believe that any adjustments to our recorded liability will not materially adversely affect our financial position, results of operations or cash flows.</w:t>
      </w:r>
    </w:p>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Cash Overdrafts, Cash Equivalents, and Supplemental Cash Flow Disclosure</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Included in the accompanying Consolidated Balance Sheets are $1.9 million, $3.9 million, and $1.8 million of capitalized property and equipment which were not paid for as of December 31, 2021, 2020, and 2019, respectively. These amounts have been excluded from capital expenditures in the accompanying Consolidated Statements of Cash Flows. There are no material non-cash amounts included in interest expense for any period presented.</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Included in accounts payable are cash overdrafts of $11.9 million as of December 31, 2021. There are no cash overdrafts included in accounts payable as of December 31, 2020.</w:t>
      </w:r>
    </w:p>
    <w:p>
      <w:pPr>
        <w:spacing w:after="0" w:line="14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From time to time throughout the year, we invest excess cash in money market funds directly with major commercial banks. We closely monitor the creditworthiness of the institutions with which we invest our overnight funds. The amount invested was less than $100,000 for each balance sheet date presented.</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Other Income -- Net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 net comprises the following (in thousands):</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44"/>
              <w:spacing w:after="0"/>
              <w:rPr>
                <w:sz w:val="20"/>
                <w:szCs w:val="20"/>
                <w:color w:val="auto"/>
              </w:rPr>
            </w:pPr>
            <w:r>
              <w:rPr>
                <w:rFonts w:ascii="Arial" w:cs="Arial" w:eastAsia="Arial" w:hAnsi="Arial"/>
                <w:sz w:val="16"/>
                <w:szCs w:val="16"/>
                <w:color w:val="auto"/>
              </w:rPr>
              <w:t>For the Years Ended December 31,</w:t>
            </w:r>
          </w:p>
        </w:tc>
        <w:tc>
          <w:tcPr>
            <w:tcW w:w="1040" w:type="dxa"/>
            <w:vAlign w:val="bottom"/>
            <w:tcBorders>
              <w:bottom w:val="single" w:sz="8" w:color="auto"/>
            </w:tcBorders>
          </w:tcPr>
          <w:p>
            <w:pPr>
              <w:spacing w:after="0"/>
              <w:rPr>
                <w:sz w:val="16"/>
                <w:szCs w:val="16"/>
                <w:color w:val="auto"/>
              </w:rPr>
            </w:pPr>
          </w:p>
        </w:tc>
      </w:tr>
      <w:tr>
        <w:trPr>
          <w:trHeight w:val="210"/>
        </w:trPr>
        <w:tc>
          <w:tcPr>
            <w:tcW w:w="4220" w:type="dxa"/>
            <w:vAlign w:val="bottom"/>
          </w:tcPr>
          <w:p>
            <w:pPr>
              <w:spacing w:after="0"/>
              <w:rPr>
                <w:sz w:val="18"/>
                <w:szCs w:val="18"/>
                <w:color w:val="auto"/>
              </w:rPr>
            </w:pPr>
          </w:p>
        </w:tc>
        <w:tc>
          <w:tcPr>
            <w:tcW w:w="2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2019</w:t>
            </w:r>
          </w:p>
        </w:tc>
      </w:tr>
      <w:tr>
        <w:trPr>
          <w:trHeight w:val="460"/>
        </w:trPr>
        <w:tc>
          <w:tcPr>
            <w:tcW w:w="4220" w:type="dxa"/>
            <w:vAlign w:val="bottom"/>
          </w:tcPr>
          <w:p>
            <w:pPr>
              <w:spacing w:after="0"/>
              <w:rPr>
                <w:sz w:val="20"/>
                <w:szCs w:val="20"/>
                <w:color w:val="auto"/>
              </w:rPr>
            </w:pPr>
            <w:r>
              <w:rPr>
                <w:rFonts w:ascii="Arial" w:cs="Arial" w:eastAsia="Arial" w:hAnsi="Arial"/>
                <w:sz w:val="16"/>
                <w:szCs w:val="16"/>
                <w:color w:val="auto"/>
              </w:rPr>
              <w:t>Market value gains related to deferred</w:t>
            </w:r>
          </w:p>
        </w:tc>
        <w:tc>
          <w:tcPr>
            <w:tcW w:w="17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29"/>
        </w:trPr>
        <w:tc>
          <w:tcPr>
            <w:tcW w:w="4220" w:type="dxa"/>
            <w:vAlign w:val="bottom"/>
          </w:tcPr>
          <w:p>
            <w:pPr>
              <w:ind w:left="220"/>
              <w:spacing w:after="0"/>
              <w:rPr>
                <w:sz w:val="20"/>
                <w:szCs w:val="20"/>
                <w:color w:val="auto"/>
              </w:rPr>
            </w:pPr>
            <w:r>
              <w:rPr>
                <w:rFonts w:ascii="Arial" w:cs="Arial" w:eastAsia="Arial" w:hAnsi="Arial"/>
                <w:sz w:val="16"/>
                <w:szCs w:val="16"/>
                <w:color w:val="auto"/>
              </w:rPr>
              <w:t>compensation trusts</w:t>
            </w:r>
          </w:p>
        </w:tc>
        <w:tc>
          <w:tcPr>
            <w:tcW w:w="2820" w:type="dxa"/>
            <w:vAlign w:val="bottom"/>
            <w:gridSpan w:val="2"/>
          </w:tcPr>
          <w:p>
            <w:pPr>
              <w:jc w:val="right"/>
              <w:ind w:right="9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4"/>
              </w:rPr>
              <w:t>8,310</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7,933</w:t>
            </w:r>
          </w:p>
        </w:tc>
        <w:tc>
          <w:tcPr>
            <w:tcW w:w="200" w:type="dxa"/>
            <w:vAlign w:val="bottom"/>
          </w:tcPr>
          <w:p>
            <w:pPr>
              <w:spacing w:after="0"/>
              <w:rPr>
                <w:sz w:val="19"/>
                <w:szCs w:val="19"/>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8,254</w:t>
            </w:r>
          </w:p>
        </w:tc>
      </w:tr>
      <w:tr>
        <w:trPr>
          <w:trHeight w:val="230"/>
        </w:trPr>
        <w:tc>
          <w:tcPr>
            <w:tcW w:w="4220" w:type="dxa"/>
            <w:vAlign w:val="bottom"/>
          </w:tcPr>
          <w:p>
            <w:pPr>
              <w:spacing w:after="0"/>
              <w:rPr>
                <w:sz w:val="20"/>
                <w:szCs w:val="20"/>
                <w:color w:val="auto"/>
              </w:rPr>
            </w:pPr>
            <w:r>
              <w:rPr>
                <w:rFonts w:ascii="Arial" w:cs="Arial" w:eastAsia="Arial" w:hAnsi="Arial"/>
                <w:sz w:val="16"/>
                <w:szCs w:val="16"/>
                <w:color w:val="auto"/>
              </w:rPr>
              <w:t>Interest income</w:t>
            </w:r>
          </w:p>
        </w:tc>
        <w:tc>
          <w:tcPr>
            <w:tcW w:w="1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377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auto"/>
              </w:rPr>
              <w:t>Other income/(expense)--net</w:t>
            </w: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457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6"/>
        </w:trPr>
        <w:tc>
          <w:tcPr>
            <w:tcW w:w="4220" w:type="dxa"/>
            <w:vAlign w:val="bottom"/>
          </w:tcPr>
          <w:p>
            <w:pPr>
              <w:ind w:left="220"/>
              <w:spacing w:after="0"/>
              <w:rPr>
                <w:sz w:val="20"/>
                <w:szCs w:val="20"/>
                <w:color w:val="auto"/>
              </w:rPr>
            </w:pPr>
            <w:r>
              <w:rPr>
                <w:rFonts w:ascii="Arial" w:cs="Arial" w:eastAsia="Arial" w:hAnsi="Arial"/>
                <w:sz w:val="16"/>
                <w:szCs w:val="16"/>
                <w:color w:val="auto"/>
              </w:rPr>
              <w:t>Total other income</w:t>
            </w:r>
          </w:p>
        </w:tc>
        <w:tc>
          <w:tcPr>
            <w:tcW w:w="2820" w:type="dxa"/>
            <w:vAlign w:val="bottom"/>
            <w:gridSpan w:val="2"/>
          </w:tcPr>
          <w:p>
            <w:pPr>
              <w:jc w:val="right"/>
              <w:ind w:right="9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4"/>
              </w:rPr>
              <w:t>9,144</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8,665</w:t>
            </w:r>
          </w:p>
        </w:tc>
        <w:tc>
          <w:tcPr>
            <w:tcW w:w="200" w:type="dxa"/>
            <w:vAlign w:val="bottom"/>
          </w:tcPr>
          <w:p>
            <w:pPr>
              <w:spacing w:after="0"/>
              <w:rPr>
                <w:sz w:val="17"/>
                <w:szCs w:val="17"/>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8,764</w:t>
            </w: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market value gain relates to gains on the assets in the deferred compensation trust. There is an offsetting expense in selling, general and administrative expense to reflect the corresponding increase in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comprises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6"/>
                <w:szCs w:val="16"/>
                <w:color w:val="auto"/>
              </w:rPr>
              <w:t>For the Years Ended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2019</w:t>
            </w:r>
          </w:p>
        </w:tc>
      </w:tr>
      <w:tr>
        <w:trPr>
          <w:trHeight w:val="217"/>
        </w:trPr>
        <w:tc>
          <w:tcPr>
            <w:tcW w:w="4160" w:type="dxa"/>
            <w:vAlign w:val="bottom"/>
          </w:tcPr>
          <w:p>
            <w:pPr>
              <w:spacing w:after="0"/>
              <w:rPr>
                <w:sz w:val="20"/>
                <w:szCs w:val="20"/>
                <w:color w:val="auto"/>
              </w:rPr>
            </w:pPr>
            <w:r>
              <w:rPr>
                <w:rFonts w:ascii="Arial" w:cs="Arial" w:eastAsia="Arial" w:hAnsi="Arial"/>
                <w:sz w:val="16"/>
                <w:szCs w:val="16"/>
                <w:color w:val="auto"/>
              </w:rPr>
              <w:t>Current</w:t>
            </w:r>
          </w:p>
        </w:tc>
        <w:tc>
          <w:tcPr>
            <w:tcW w:w="2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6"/>
                <w:szCs w:val="16"/>
                <w:color w:val="auto"/>
              </w:rPr>
              <w:t>U.S. federal</w:t>
            </w:r>
          </w:p>
        </w:tc>
        <w:tc>
          <w:tcPr>
            <w:tcW w:w="318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85"/>
              </w:rPr>
              <w:t>64,620</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58,602</w:t>
            </w:r>
          </w:p>
        </w:tc>
        <w:tc>
          <w:tcPr>
            <w:tcW w:w="200" w:type="dxa"/>
            <w:vAlign w:val="bottom"/>
          </w:tcPr>
          <w:p>
            <w:pPr>
              <w:spacing w:after="0"/>
              <w:rPr>
                <w:sz w:val="18"/>
                <w:szCs w:val="18"/>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36,779</w:t>
            </w:r>
          </w:p>
        </w:tc>
      </w:tr>
      <w:tr>
        <w:trPr>
          <w:trHeight w:val="216"/>
        </w:trPr>
        <w:tc>
          <w:tcPr>
            <w:tcW w:w="4160" w:type="dxa"/>
            <w:vAlign w:val="bottom"/>
          </w:tcPr>
          <w:p>
            <w:pPr>
              <w:ind w:left="220"/>
              <w:spacing w:after="0"/>
              <w:rPr>
                <w:sz w:val="20"/>
                <w:szCs w:val="20"/>
                <w:color w:val="auto"/>
              </w:rPr>
            </w:pPr>
            <w:r>
              <w:rPr>
                <w:rFonts w:ascii="Arial" w:cs="Arial" w:eastAsia="Arial" w:hAnsi="Arial"/>
                <w:sz w:val="16"/>
                <w:szCs w:val="16"/>
                <w:color w:val="auto"/>
              </w:rPr>
              <w:t>U.S. state and local</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85"/>
              </w:rPr>
              <w:t>14,233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15,950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7,078</w:t>
            </w:r>
          </w:p>
        </w:tc>
      </w:tr>
      <w:tr>
        <w:trPr>
          <w:trHeight w:val="216"/>
        </w:trPr>
        <w:tc>
          <w:tcPr>
            <w:tcW w:w="4160" w:type="dxa"/>
            <w:vAlign w:val="bottom"/>
          </w:tcPr>
          <w:p>
            <w:pPr>
              <w:ind w:left="220"/>
              <w:spacing w:after="0"/>
              <w:rPr>
                <w:sz w:val="20"/>
                <w:szCs w:val="20"/>
                <w:color w:val="auto"/>
              </w:rPr>
            </w:pPr>
            <w:r>
              <w:rPr>
                <w:rFonts w:ascii="Arial" w:cs="Arial" w:eastAsia="Arial" w:hAnsi="Arial"/>
                <w:sz w:val="16"/>
                <w:szCs w:val="16"/>
                <w:color w:val="auto"/>
              </w:rPr>
              <w:t>Foreign</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511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29"/>
        </w:trPr>
        <w:tc>
          <w:tcPr>
            <w:tcW w:w="4160" w:type="dxa"/>
            <w:vAlign w:val="bottom"/>
          </w:tcPr>
          <w:p>
            <w:pPr>
              <w:spacing w:after="0"/>
              <w:rPr>
                <w:sz w:val="20"/>
                <w:szCs w:val="20"/>
                <w:color w:val="auto"/>
              </w:rPr>
            </w:pPr>
            <w:r>
              <w:rPr>
                <w:rFonts w:ascii="Arial" w:cs="Arial" w:eastAsia="Arial" w:hAnsi="Arial"/>
                <w:sz w:val="16"/>
                <w:szCs w:val="16"/>
                <w:color w:val="auto"/>
              </w:rPr>
              <w:t>Deferred</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6"/>
                <w:szCs w:val="16"/>
                <w:color w:val="auto"/>
              </w:rPr>
              <w:t>U.S. federal, state and local</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2,358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(2,773)</w:t>
            </w:r>
          </w:p>
        </w:tc>
      </w:tr>
      <w:tr>
        <w:trPr>
          <w:trHeight w:val="208"/>
        </w:trPr>
        <w:tc>
          <w:tcPr>
            <w:tcW w:w="4160" w:type="dxa"/>
            <w:vAlign w:val="bottom"/>
          </w:tcPr>
          <w:p>
            <w:pPr>
              <w:ind w:left="220"/>
              <w:spacing w:after="0"/>
              <w:rPr>
                <w:sz w:val="20"/>
                <w:szCs w:val="20"/>
                <w:color w:val="auto"/>
              </w:rPr>
            </w:pPr>
            <w:r>
              <w:rPr>
                <w:rFonts w:ascii="Arial" w:cs="Arial" w:eastAsia="Arial" w:hAnsi="Arial"/>
                <w:sz w:val="16"/>
                <w:szCs w:val="16"/>
                <w:color w:val="auto"/>
              </w:rPr>
              <w:t>Foreign</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83"/>
        </w:trPr>
        <w:tc>
          <w:tcPr>
            <w:tcW w:w="4160" w:type="dxa"/>
            <w:vAlign w:val="bottom"/>
          </w:tcPr>
          <w:p>
            <w:pPr>
              <w:ind w:left="660"/>
              <w:spacing w:after="0" w:line="183" w:lineRule="exact"/>
              <w:rPr>
                <w:sz w:val="20"/>
                <w:szCs w:val="20"/>
                <w:color w:val="auto"/>
              </w:rPr>
            </w:pPr>
            <w:r>
              <w:rPr>
                <w:rFonts w:ascii="Arial" w:cs="Arial" w:eastAsia="Arial" w:hAnsi="Arial"/>
                <w:sz w:val="16"/>
                <w:szCs w:val="16"/>
                <w:color w:val="auto"/>
              </w:rPr>
              <w:t>Total</w:t>
            </w:r>
          </w:p>
        </w:tc>
        <w:tc>
          <w:tcPr>
            <w:tcW w:w="3180" w:type="dxa"/>
            <w:vAlign w:val="bottom"/>
            <w:gridSpan w:val="2"/>
          </w:tcPr>
          <w:p>
            <w:pPr>
              <w:jc w:val="right"/>
              <w:ind w:right="940"/>
              <w:spacing w:after="0" w:line="183"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5"/>
              </w:rPr>
              <w:t>81,764</w:t>
            </w:r>
          </w:p>
        </w:tc>
        <w:tc>
          <w:tcPr>
            <w:tcW w:w="58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76,524</w:t>
            </w:r>
          </w:p>
        </w:tc>
        <w:tc>
          <w:tcPr>
            <w:tcW w:w="200" w:type="dxa"/>
            <w:vAlign w:val="bottom"/>
          </w:tcPr>
          <w:p>
            <w:pPr>
              <w:spacing w:after="0"/>
              <w:rPr>
                <w:sz w:val="15"/>
                <w:szCs w:val="15"/>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41,686</w:t>
            </w: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temporary differences that give rise to deferred tax assets/ (liabilities) follows (in thousands):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6"/>
                <w:szCs w:val="16"/>
                <w:color w:val="auto"/>
              </w:rPr>
              <w:t>December 31,</w:t>
            </w:r>
          </w:p>
        </w:tc>
        <w:tc>
          <w:tcPr>
            <w:tcW w:w="1380" w:type="dxa"/>
            <w:vAlign w:val="bottom"/>
            <w:tcBorders>
              <w:bottom w:val="single" w:sz="8" w:color="auto"/>
            </w:tcBorders>
          </w:tcPr>
          <w:p>
            <w:pPr>
              <w:spacing w:after="0"/>
              <w:rPr>
                <w:sz w:val="16"/>
                <w:szCs w:val="16"/>
                <w:color w:val="auto"/>
              </w:rPr>
            </w:pPr>
          </w:p>
        </w:tc>
      </w:tr>
      <w:tr>
        <w:trPr>
          <w:trHeight w:val="196"/>
        </w:trPr>
        <w:tc>
          <w:tcPr>
            <w:tcW w:w="3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217"/>
        </w:trPr>
        <w:tc>
          <w:tcPr>
            <w:tcW w:w="3960" w:type="dxa"/>
            <w:vAlign w:val="bottom"/>
          </w:tcPr>
          <w:p>
            <w:pPr>
              <w:spacing w:after="0"/>
              <w:rPr>
                <w:sz w:val="20"/>
                <w:szCs w:val="20"/>
                <w:color w:val="auto"/>
              </w:rPr>
            </w:pPr>
            <w:r>
              <w:rPr>
                <w:rFonts w:ascii="Arial" w:cs="Arial" w:eastAsia="Arial" w:hAnsi="Arial"/>
                <w:sz w:val="16"/>
                <w:szCs w:val="16"/>
                <w:color w:val="auto"/>
              </w:rPr>
              <w:t>Accrued liabilities</w:t>
            </w:r>
          </w:p>
        </w:tc>
        <w:tc>
          <w:tcPr>
            <w:tcW w:w="2820" w:type="dxa"/>
            <w:vAlign w:val="bottom"/>
            <w:gridSpan w:val="2"/>
          </w:tcPr>
          <w:p>
            <w:pPr>
              <w:jc w:val="right"/>
              <w:ind w:right="12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42,840</w:t>
            </w:r>
          </w:p>
        </w:tc>
        <w:tc>
          <w:tcPr>
            <w:tcW w:w="260" w:type="dxa"/>
            <w:vAlign w:val="bottom"/>
          </w:tcPr>
          <w:p>
            <w:pPr>
              <w:spacing w:after="0"/>
              <w:rPr>
                <w:sz w:val="18"/>
                <w:szCs w:val="18"/>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42,151</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Lease liabilities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35,936</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35,888</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Implicit price concessions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7,744</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7,031</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6,976</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4,047</w:t>
            </w:r>
          </w:p>
        </w:tc>
      </w:tr>
      <w:tr>
        <w:trPr>
          <w:trHeight w:val="229"/>
        </w:trPr>
        <w:tc>
          <w:tcPr>
            <w:tcW w:w="3960" w:type="dxa"/>
            <w:vAlign w:val="bottom"/>
          </w:tcPr>
          <w:p>
            <w:pPr>
              <w:spacing w:after="0"/>
              <w:rPr>
                <w:sz w:val="20"/>
                <w:szCs w:val="20"/>
                <w:color w:val="auto"/>
              </w:rPr>
            </w:pPr>
            <w:r>
              <w:rPr>
                <w:rFonts w:ascii="Arial" w:cs="Arial" w:eastAsia="Arial" w:hAnsi="Arial"/>
                <w:sz w:val="16"/>
                <w:szCs w:val="16"/>
                <w:color w:val="auto"/>
              </w:rPr>
              <w:t>State net operating loss carryforwards</w:t>
            </w: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1,920</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2,030</w:t>
            </w:r>
          </w:p>
        </w:tc>
      </w:tr>
      <w:tr>
        <w:trPr>
          <w:trHeight w:val="208"/>
        </w:trPr>
        <w:tc>
          <w:tcPr>
            <w:tcW w:w="3960" w:type="dxa"/>
            <w:vAlign w:val="bottom"/>
          </w:tcPr>
          <w:p>
            <w:pPr>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920</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210"/>
        </w:trPr>
        <w:tc>
          <w:tcPr>
            <w:tcW w:w="3960" w:type="dxa"/>
            <w:vAlign w:val="bottom"/>
          </w:tcPr>
          <w:p>
            <w:pPr>
              <w:ind w:left="220"/>
              <w:spacing w:after="0"/>
              <w:rPr>
                <w:sz w:val="20"/>
                <w:szCs w:val="20"/>
                <w:color w:val="auto"/>
              </w:rPr>
            </w:pPr>
            <w:r>
              <w:rPr>
                <w:rFonts w:ascii="Arial" w:cs="Arial" w:eastAsia="Arial" w:hAnsi="Arial"/>
                <w:sz w:val="16"/>
                <w:szCs w:val="16"/>
                <w:color w:val="auto"/>
              </w:rPr>
              <w:t>Deferred income tax assets</w:t>
            </w:r>
          </w:p>
        </w:tc>
        <w:tc>
          <w:tcPr>
            <w:tcW w:w="13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96,336</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92,035</w:t>
            </w:r>
          </w:p>
        </w:tc>
      </w:tr>
      <w:tr>
        <w:trPr>
          <w:trHeight w:val="217"/>
        </w:trPr>
        <w:tc>
          <w:tcPr>
            <w:tcW w:w="396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(41,925)</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(40,619)</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Accelerated tax depreciation</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(35,416)</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(31,686)</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Right of use lease assets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(32,489)</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(32,788)</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Currents assets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(3,858)</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(3,921)</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Market valuation of investments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(3,189)</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(2,382)</w:t>
            </w: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State income taxes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(2,504)</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195"/>
        </w:trPr>
        <w:tc>
          <w:tcPr>
            <w:tcW w:w="3960" w:type="dxa"/>
            <w:vAlign w:val="bottom"/>
          </w:tcPr>
          <w:p>
            <w:pPr>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196"/>
        </w:trPr>
        <w:tc>
          <w:tcPr>
            <w:tcW w:w="3960" w:type="dxa"/>
            <w:vAlign w:val="bottom"/>
          </w:tcPr>
          <w:p>
            <w:pPr>
              <w:ind w:left="220"/>
              <w:spacing w:after="0"/>
              <w:rPr>
                <w:sz w:val="20"/>
                <w:szCs w:val="20"/>
                <w:color w:val="auto"/>
              </w:rPr>
            </w:pPr>
            <w:r>
              <w:rPr>
                <w:rFonts w:ascii="Arial" w:cs="Arial" w:eastAsia="Arial" w:hAnsi="Arial"/>
                <w:sz w:val="16"/>
                <w:szCs w:val="16"/>
                <w:color w:val="auto"/>
              </w:rPr>
              <w:t>Deferred income tax liabilities</w:t>
            </w:r>
          </w:p>
        </w:tc>
        <w:tc>
          <w:tcPr>
            <w:tcW w:w="138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(119,519)</w:t>
            </w: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(112,699)</w:t>
            </w:r>
          </w:p>
        </w:tc>
      </w:tr>
      <w:tr>
        <w:trPr>
          <w:trHeight w:val="183"/>
        </w:trPr>
        <w:tc>
          <w:tcPr>
            <w:tcW w:w="3960" w:type="dxa"/>
            <w:vAlign w:val="bottom"/>
          </w:tcPr>
          <w:p>
            <w:pPr>
              <w:ind w:left="360"/>
              <w:spacing w:after="0" w:line="183" w:lineRule="exact"/>
              <w:rPr>
                <w:sz w:val="20"/>
                <w:szCs w:val="20"/>
                <w:color w:val="auto"/>
              </w:rPr>
            </w:pPr>
            <w:r>
              <w:rPr>
                <w:rFonts w:ascii="Arial" w:cs="Arial" w:eastAsia="Arial" w:hAnsi="Arial"/>
                <w:sz w:val="16"/>
                <w:szCs w:val="16"/>
                <w:color w:val="auto"/>
              </w:rPr>
              <w:t>Net deferred income tax liabilities</w:t>
            </w:r>
          </w:p>
        </w:tc>
        <w:tc>
          <w:tcPr>
            <w:tcW w:w="2820" w:type="dxa"/>
            <w:vAlign w:val="bottom"/>
            <w:gridSpan w:val="2"/>
          </w:tcPr>
          <w:p>
            <w:pPr>
              <w:jc w:val="right"/>
              <w:ind w:right="1279"/>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(23,183)</w:t>
            </w:r>
          </w:p>
        </w:tc>
        <w:tc>
          <w:tcPr>
            <w:tcW w:w="260" w:type="dxa"/>
            <w:vAlign w:val="bottom"/>
          </w:tcPr>
          <w:p>
            <w:pPr>
              <w:spacing w:after="0"/>
              <w:rPr>
                <w:sz w:val="15"/>
                <w:szCs w:val="15"/>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(20,664)</w:t>
            </w: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At December 31, 2021 and 2020, state net operating loss carryforwards were $43.9 million and $37.3 million, respectively. These net operating losses will expire, in varying amounts, between 2026 and 2041. Based on our history of operating earnings, we have determined that our operating income will, more likely than not, be sufficient to ensure realization of our deferred income tax assets.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of year amount of our unrecognized tax benefit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r>
      <w:tr>
        <w:trPr>
          <w:trHeight w:val="217"/>
        </w:trPr>
        <w:tc>
          <w:tcPr>
            <w:tcW w:w="5240" w:type="dxa"/>
            <w:vAlign w:val="bottom"/>
          </w:tcPr>
          <w:p>
            <w:pPr>
              <w:spacing w:after="0"/>
              <w:rPr>
                <w:sz w:val="20"/>
                <w:szCs w:val="20"/>
                <w:color w:val="auto"/>
              </w:rPr>
            </w:pPr>
            <w:r>
              <w:rPr>
                <w:rFonts w:ascii="Arial" w:cs="Arial" w:eastAsia="Arial" w:hAnsi="Arial"/>
                <w:sz w:val="16"/>
                <w:szCs w:val="16"/>
                <w:color w:val="auto"/>
              </w:rPr>
              <w:t>Balance at January 1,</w:t>
            </w:r>
          </w:p>
        </w:tc>
        <w:tc>
          <w:tcPr>
            <w:tcW w:w="214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4"/>
              </w:rPr>
              <w:t>1,304</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1,323</w:t>
            </w:r>
          </w:p>
        </w:tc>
        <w:tc>
          <w:tcPr>
            <w:tcW w:w="20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216"/>
        </w:trPr>
        <w:tc>
          <w:tcPr>
            <w:tcW w:w="5240" w:type="dxa"/>
            <w:vAlign w:val="bottom"/>
          </w:tcPr>
          <w:p>
            <w:pPr>
              <w:spacing w:after="0"/>
              <w:rPr>
                <w:sz w:val="20"/>
                <w:szCs w:val="20"/>
                <w:color w:val="auto"/>
              </w:rPr>
            </w:pPr>
            <w:r>
              <w:rPr>
                <w:rFonts w:ascii="Arial" w:cs="Arial" w:eastAsia="Arial" w:hAnsi="Arial"/>
                <w:sz w:val="16"/>
                <w:szCs w:val="16"/>
                <w:color w:val="auto"/>
              </w:rPr>
              <w:t>Unrecognized tax benefits due to positions taken in current year</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195"/>
        </w:trPr>
        <w:tc>
          <w:tcPr>
            <w:tcW w:w="5240" w:type="dxa"/>
            <w:vAlign w:val="bottom"/>
          </w:tcPr>
          <w:p>
            <w:pPr>
              <w:spacing w:after="0"/>
              <w:rPr>
                <w:sz w:val="20"/>
                <w:szCs w:val="20"/>
                <w:color w:val="auto"/>
              </w:rPr>
            </w:pPr>
            <w:r>
              <w:rPr>
                <w:rFonts w:ascii="Arial" w:cs="Arial" w:eastAsia="Arial" w:hAnsi="Arial"/>
                <w:sz w:val="16"/>
                <w:szCs w:val="16"/>
                <w:color w:val="auto"/>
              </w:rPr>
              <w:t>Decrease due to expiration of statute of limitations</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(219)</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83"/>
        </w:trPr>
        <w:tc>
          <w:tcPr>
            <w:tcW w:w="5240" w:type="dxa"/>
            <w:vAlign w:val="bottom"/>
          </w:tcPr>
          <w:p>
            <w:pPr>
              <w:spacing w:after="0" w:line="183" w:lineRule="exact"/>
              <w:rPr>
                <w:sz w:val="20"/>
                <w:szCs w:val="20"/>
                <w:color w:val="auto"/>
              </w:rPr>
            </w:pPr>
            <w:r>
              <w:rPr>
                <w:rFonts w:ascii="Arial" w:cs="Arial" w:eastAsia="Arial" w:hAnsi="Arial"/>
                <w:sz w:val="16"/>
                <w:szCs w:val="16"/>
                <w:color w:val="auto"/>
              </w:rPr>
              <w:t>Balance at December 31,</w:t>
            </w:r>
          </w:p>
        </w:tc>
        <w:tc>
          <w:tcPr>
            <w:tcW w:w="2140" w:type="dxa"/>
            <w:vAlign w:val="bottom"/>
            <w:gridSpan w:val="2"/>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1,379</w:t>
            </w:r>
          </w:p>
        </w:tc>
        <w:tc>
          <w:tcPr>
            <w:tcW w:w="100" w:type="dxa"/>
            <w:vAlign w:val="bottom"/>
          </w:tcPr>
          <w:p>
            <w:pPr>
              <w:spacing w:after="0"/>
              <w:rPr>
                <w:sz w:val="15"/>
                <w:szCs w:val="15"/>
                <w:color w:val="auto"/>
              </w:rPr>
            </w:pPr>
          </w:p>
        </w:tc>
        <w:tc>
          <w:tcPr>
            <w:tcW w:w="48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1,304</w:t>
            </w:r>
          </w:p>
        </w:tc>
        <w:tc>
          <w:tcPr>
            <w:tcW w:w="2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1,323</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file tax returns in the U.S. federal jurisdiction and various states. The years ended December 31, 2018 and forward remain open for review for federal income tax purposes. The earliest open year relating to any of our major state jurisdictions is the fiscal year ended December 31, 2016. During the next twelve months, we do not anticipate a material net change in unrecognized tax benefits.</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classify interest related to our accrual for uncertain tax positions in separate interest accounts. As of December 31, 2021, and 2020, we have approximately $131,000 and $163,000, respectively, accrued in interest payable related to uncertain tax positions. These accruals are included in other current liabilities in the accompanying consolidated balance sheet. Net interest expense related to uncertain tax positions included in interest expense in the accompanying consolidated statement of income is not material.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6"/>
          <w:szCs w:val="16"/>
          <w:color w:val="auto"/>
        </w:rPr>
        <w:t>The difference between the actual income tax provision for continuing operations and the income tax provision calculated at the statutory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federal tax rate is explained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6"/>
                <w:szCs w:val="16"/>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5060" w:type="dxa"/>
            <w:vAlign w:val="bottom"/>
          </w:tcPr>
          <w:p>
            <w:pPr>
              <w:spacing w:after="0"/>
              <w:rPr>
                <w:sz w:val="20"/>
                <w:szCs w:val="20"/>
                <w:color w:val="auto"/>
              </w:rPr>
            </w:pPr>
            <w:r>
              <w:rPr>
                <w:rFonts w:ascii="Arial" w:cs="Arial" w:eastAsia="Arial" w:hAnsi="Arial"/>
                <w:sz w:val="16"/>
                <w:szCs w:val="16"/>
                <w:color w:val="auto"/>
              </w:rPr>
              <w:t>Income tax provision calculated using the statutory rate of 21%</w:t>
            </w: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73,566</w:t>
            </w:r>
          </w:p>
        </w:tc>
        <w:tc>
          <w:tcPr>
            <w:tcW w:w="16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83,158</w:t>
            </w:r>
          </w:p>
        </w:tc>
        <w:tc>
          <w:tcPr>
            <w:tcW w:w="160" w:type="dxa"/>
            <w:vAlign w:val="bottom"/>
          </w:tcPr>
          <w:p>
            <w:pPr>
              <w:spacing w:after="0"/>
              <w:rPr>
                <w:sz w:val="24"/>
                <w:szCs w:val="24"/>
                <w:color w:val="auto"/>
              </w:rPr>
            </w:pPr>
          </w:p>
        </w:tc>
        <w:tc>
          <w:tcPr>
            <w:tcW w:w="50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54,938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Excess stock compensation tax benefits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(9,884)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(26,089)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color w:val="auto"/>
              </w:rPr>
              <w:t>(24,177)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State and local income taxes, less federal income tax effect</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10,025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Nondeductible expenses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7,443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60" w:type="dxa"/>
            <w:vAlign w:val="bottom"/>
          </w:tcPr>
          <w:p>
            <w:pPr>
              <w:spacing w:after="0"/>
              <w:rPr>
                <w:sz w:val="20"/>
                <w:szCs w:val="20"/>
                <w:color w:val="auto"/>
              </w:rPr>
            </w:pPr>
            <w:r>
              <w:rPr>
                <w:rFonts w:ascii="Arial" w:cs="Arial" w:eastAsia="Arial" w:hAnsi="Arial"/>
                <w:sz w:val="16"/>
                <w:szCs w:val="16"/>
                <w:color w:val="auto"/>
              </w:rPr>
              <w:t>Other--net</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614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tcPr>
          <w:p>
            <w:pPr>
              <w:ind w:left="220"/>
              <w:spacing w:after="0" w:line="183" w:lineRule="exact"/>
              <w:rPr>
                <w:sz w:val="20"/>
                <w:szCs w:val="20"/>
                <w:color w:val="auto"/>
              </w:rPr>
            </w:pPr>
            <w:r>
              <w:rPr>
                <w:rFonts w:ascii="Arial" w:cs="Arial" w:eastAsia="Arial" w:hAnsi="Arial"/>
                <w:sz w:val="16"/>
                <w:szCs w:val="16"/>
                <w:color w:val="auto"/>
              </w:rPr>
              <w:t>Income tax provision</w:t>
            </w:r>
          </w:p>
        </w:tc>
        <w:tc>
          <w:tcPr>
            <w:tcW w:w="134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81,764</w:t>
            </w:r>
          </w:p>
        </w:tc>
        <w:tc>
          <w:tcPr>
            <w:tcW w:w="160" w:type="dxa"/>
            <w:vAlign w:val="bottom"/>
          </w:tcPr>
          <w:p>
            <w:pPr>
              <w:spacing w:after="0"/>
              <w:rPr>
                <w:sz w:val="15"/>
                <w:szCs w:val="15"/>
                <w:color w:val="auto"/>
              </w:rPr>
            </w:pPr>
          </w:p>
        </w:tc>
        <w:tc>
          <w:tcPr>
            <w:tcW w:w="38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76,524</w:t>
            </w:r>
          </w:p>
        </w:tc>
        <w:tc>
          <w:tcPr>
            <w:tcW w:w="160" w:type="dxa"/>
            <w:vAlign w:val="bottom"/>
          </w:tcPr>
          <w:p>
            <w:pPr>
              <w:spacing w:after="0"/>
              <w:rPr>
                <w:sz w:val="15"/>
                <w:szCs w:val="15"/>
                <w:color w:val="auto"/>
              </w:rPr>
            </w:pPr>
          </w:p>
        </w:tc>
        <w:tc>
          <w:tcPr>
            <w:tcW w:w="50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41,686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20"/>
              <w:spacing w:after="0"/>
              <w:rPr>
                <w:sz w:val="20"/>
                <w:szCs w:val="20"/>
                <w:color w:val="auto"/>
              </w:rPr>
            </w:pPr>
            <w:r>
              <w:rPr>
                <w:rFonts w:ascii="Arial" w:cs="Arial" w:eastAsia="Arial" w:hAnsi="Arial"/>
                <w:sz w:val="16"/>
                <w:szCs w:val="16"/>
                <w:color w:val="auto"/>
              </w:rPr>
              <w:t>Effective tax rate</w:t>
            </w:r>
          </w:p>
        </w:tc>
        <w:tc>
          <w:tcPr>
            <w:tcW w:w="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23.3</w:t>
            </w: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19.3</w:t>
            </w:r>
          </w:p>
        </w:tc>
        <w:tc>
          <w:tcPr>
            <w:tcW w:w="160" w:type="dxa"/>
            <w:vAlign w:val="bottom"/>
          </w:tcPr>
          <w:p>
            <w:pPr>
              <w:jc w:val="right"/>
              <w:spacing w:after="0" w:line="156" w:lineRule="exact"/>
              <w:rPr>
                <w:sz w:val="20"/>
                <w:szCs w:val="20"/>
                <w:color w:val="auto"/>
              </w:rPr>
            </w:pPr>
            <w:r>
              <w:rPr>
                <w:rFonts w:ascii="Arial" w:cs="Arial" w:eastAsia="Arial" w:hAnsi="Arial"/>
                <w:sz w:val="16"/>
                <w:szCs w:val="16"/>
                <w:color w:val="auto"/>
                <w:w w:val="84"/>
              </w:rPr>
              <w:t>%</w:t>
            </w: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15.9</w:t>
            </w:r>
          </w:p>
        </w:tc>
        <w:tc>
          <w:tcPr>
            <w:tcW w:w="140" w:type="dxa"/>
            <w:vAlign w:val="bottom"/>
          </w:tcPr>
          <w:p>
            <w:pPr>
              <w:jc w:val="right"/>
              <w:spacing w:after="0" w:line="156"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below are the total amounts of income taxes paid during the years ended December 31 (in thousands):</w:t>
      </w:r>
    </w:p>
    <w:p>
      <w:pPr>
        <w:spacing w:after="0" w:line="266" w:lineRule="exact"/>
        <w:rPr>
          <w:sz w:val="20"/>
          <w:szCs w:val="20"/>
          <w:color w:val="auto"/>
        </w:rPr>
      </w:pPr>
    </w:p>
    <w:tbl>
      <w:tblPr>
        <w:tblLayout w:type="fixed"/>
        <w:tblInd w:w="2980" w:type="dxa"/>
        <w:tblCellMar>
          <w:top w:w="0" w:type="dxa"/>
          <w:left w:w="0" w:type="dxa"/>
          <w:bottom w:w="0" w:type="dxa"/>
          <w:right w:w="0" w:type="dxa"/>
        </w:tblCellMar>
      </w:tblPr>
      <w:tr>
        <w:trPr>
          <w:trHeight w:val="210"/>
        </w:trPr>
        <w:tc>
          <w:tcPr>
            <w:tcW w:w="2060" w:type="dxa"/>
            <w:vAlign w:val="bottom"/>
          </w:tcPr>
          <w:p>
            <w:pPr>
              <w:jc w:val="right"/>
              <w:ind w:right="1659"/>
              <w:spacing w:after="0"/>
              <w:rPr>
                <w:sz w:val="20"/>
                <w:szCs w:val="20"/>
                <w:color w:val="auto"/>
              </w:rPr>
            </w:pPr>
            <w:r>
              <w:rPr>
                <w:rFonts w:ascii="Arial" w:cs="Arial" w:eastAsia="Arial" w:hAnsi="Arial"/>
                <w:sz w:val="16"/>
                <w:szCs w:val="16"/>
                <w:b w:val="1"/>
                <w:bCs w:val="1"/>
                <w:color w:val="auto"/>
                <w:w w:val="84"/>
              </w:rPr>
              <w:t>2021</w:t>
            </w:r>
          </w:p>
        </w:tc>
        <w:tc>
          <w:tcPr>
            <w:tcW w:w="3780" w:type="dxa"/>
            <w:vAlign w:val="bottom"/>
          </w:tcPr>
          <w:p>
            <w:pPr>
              <w:jc w:val="right"/>
              <w:ind w:right="1859"/>
              <w:spacing w:after="0"/>
              <w:rPr>
                <w:sz w:val="20"/>
                <w:szCs w:val="20"/>
                <w:color w:val="auto"/>
              </w:rPr>
            </w:pPr>
            <w:r>
              <w:rPr>
                <w:rFonts w:ascii="Arial" w:cs="Arial" w:eastAsia="Arial" w:hAnsi="Arial"/>
                <w:sz w:val="16"/>
                <w:szCs w:val="16"/>
                <w:b w:val="1"/>
                <w:bCs w:val="1"/>
                <w:color w:val="auto"/>
              </w:rPr>
              <w:t>$</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99,430</w:t>
            </w:r>
          </w:p>
        </w:tc>
      </w:tr>
      <w:tr>
        <w:trPr>
          <w:trHeight w:val="216"/>
        </w:trPr>
        <w:tc>
          <w:tcPr>
            <w:tcW w:w="2060" w:type="dxa"/>
            <w:vAlign w:val="bottom"/>
          </w:tcPr>
          <w:p>
            <w:pPr>
              <w:jc w:val="right"/>
              <w:ind w:right="1659"/>
              <w:spacing w:after="0"/>
              <w:rPr>
                <w:sz w:val="20"/>
                <w:szCs w:val="20"/>
                <w:color w:val="auto"/>
              </w:rPr>
            </w:pPr>
            <w:r>
              <w:rPr>
                <w:rFonts w:ascii="Arial" w:cs="Arial" w:eastAsia="Arial" w:hAnsi="Arial"/>
                <w:sz w:val="16"/>
                <w:szCs w:val="16"/>
                <w:color w:val="auto"/>
                <w:w w:val="84"/>
              </w:rPr>
              <w:t>2020</w:t>
            </w:r>
          </w:p>
        </w:tc>
        <w:tc>
          <w:tcPr>
            <w:tcW w:w="37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61,517</w:t>
            </w:r>
          </w:p>
        </w:tc>
      </w:tr>
      <w:tr>
        <w:trPr>
          <w:trHeight w:val="216"/>
        </w:trPr>
        <w:tc>
          <w:tcPr>
            <w:tcW w:w="2060" w:type="dxa"/>
            <w:vAlign w:val="bottom"/>
          </w:tcPr>
          <w:p>
            <w:pPr>
              <w:jc w:val="right"/>
              <w:ind w:right="1659"/>
              <w:spacing w:after="0"/>
              <w:rPr>
                <w:sz w:val="20"/>
                <w:szCs w:val="20"/>
                <w:color w:val="auto"/>
              </w:rPr>
            </w:pPr>
            <w:r>
              <w:rPr>
                <w:rFonts w:ascii="Arial" w:cs="Arial" w:eastAsia="Arial" w:hAnsi="Arial"/>
                <w:sz w:val="16"/>
                <w:szCs w:val="16"/>
                <w:color w:val="auto"/>
                <w:w w:val="84"/>
              </w:rPr>
              <w:t>2019</w:t>
            </w:r>
          </w:p>
        </w:tc>
        <w:tc>
          <w:tcPr>
            <w:tcW w:w="37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44,063</w:t>
            </w:r>
          </w:p>
        </w:tc>
      </w:tr>
    </w:tbl>
    <w:p>
      <w:pPr>
        <w:spacing w:after="0" w:line="1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Provision has not been made for additional taxes on $35.1 million of undistributed earnings of our domestic subsidiaries. Should we elect to sell our interest in these businesses rather than to affect a tax-free liquidation, additional taxes amounting to approximately $8.4 million would be incurred based on current income tax rates.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12.  Properties and Equipment</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40" w:type="dxa"/>
            <w:vAlign w:val="bottom"/>
          </w:tcPr>
          <w:p>
            <w:pPr>
              <w:ind w:left="660"/>
              <w:spacing w:after="0"/>
              <w:rPr>
                <w:sz w:val="20"/>
                <w:szCs w:val="20"/>
                <w:color w:val="auto"/>
              </w:rPr>
            </w:pPr>
            <w:r>
              <w:rPr>
                <w:rFonts w:ascii="Arial" w:cs="Arial" w:eastAsia="Arial" w:hAnsi="Arial"/>
                <w:sz w:val="18"/>
                <w:szCs w:val="18"/>
                <w:color w:val="auto"/>
              </w:rPr>
              <w:t>A summary of properties and equipment follows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4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1"/>
              <w:spacing w:after="0" w:line="182"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1"/>
        </w:trPr>
        <w:tc>
          <w:tcPr>
            <w:tcW w:w="8140" w:type="dxa"/>
            <w:vAlign w:val="bottom"/>
            <w:vMerge w:val="continue"/>
          </w:tcPr>
          <w:p>
            <w:pPr>
              <w:spacing w:after="0"/>
              <w:rPr>
                <w:sz w:val="13"/>
                <w:szCs w:val="13"/>
                <w:color w:val="auto"/>
              </w:rPr>
            </w:pPr>
          </w:p>
        </w:tc>
        <w:tc>
          <w:tcPr>
            <w:tcW w:w="360" w:type="dxa"/>
            <w:vAlign w:val="bottom"/>
          </w:tcPr>
          <w:p>
            <w:pPr>
              <w:jc w:val="right"/>
              <w:ind w:right="207"/>
              <w:spacing w:after="0" w:line="151"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11,348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ind w:right="407"/>
              <w:spacing w:after="0" w:line="151"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50" w:lineRule="exact"/>
              <w:rPr>
                <w:sz w:val="20"/>
                <w:szCs w:val="20"/>
                <w:color w:val="auto"/>
              </w:rPr>
            </w:pPr>
            <w:r>
              <w:rPr>
                <w:rFonts w:ascii="Arial" w:cs="Arial" w:eastAsia="Arial" w:hAnsi="Arial"/>
                <w:sz w:val="17"/>
                <w:szCs w:val="17"/>
                <w:color w:val="auto"/>
              </w:rPr>
              <w:t>9,385</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122,762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117,419</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Transportation equipment</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73,322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68,379</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143,335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129,835</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Computer software</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64,064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78,979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78,507</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8"/>
                <w:szCs w:val="18"/>
                <w:color w:val="auto"/>
              </w:rPr>
              <w:t>Projects under development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151"/>
        </w:trPr>
        <w:tc>
          <w:tcPr>
            <w:tcW w:w="8140" w:type="dxa"/>
            <w:vAlign w:val="bottom"/>
          </w:tcPr>
          <w:p>
            <w:pPr>
              <w:ind w:left="340"/>
              <w:spacing w:after="0" w:line="150" w:lineRule="exact"/>
              <w:rPr>
                <w:sz w:val="20"/>
                <w:szCs w:val="20"/>
                <w:color w:val="auto"/>
              </w:rPr>
            </w:pPr>
            <w:r>
              <w:rPr>
                <w:rFonts w:ascii="Arial" w:cs="Arial" w:eastAsia="Arial" w:hAnsi="Arial"/>
                <w:sz w:val="17"/>
                <w:szCs w:val="17"/>
                <w:color w:val="auto"/>
              </w:rPr>
              <w:t>Total properties and equipment</w:t>
            </w:r>
          </w:p>
        </w:tc>
        <w:tc>
          <w:tcPr>
            <w:tcW w:w="36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511,591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7"/>
                <w:szCs w:val="17"/>
                <w:color w:val="auto"/>
              </w:rPr>
              <w:t>481,200</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(317,911)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(293,380)</w:t>
            </w:r>
          </w:p>
        </w:tc>
        <w:tc>
          <w:tcPr>
            <w:tcW w:w="0" w:type="dxa"/>
            <w:vAlign w:val="bottom"/>
          </w:tcPr>
          <w:p>
            <w:pPr>
              <w:spacing w:after="0"/>
              <w:rPr>
                <w:sz w:val="1"/>
                <w:szCs w:val="1"/>
                <w:color w:val="auto"/>
              </w:rPr>
            </w:pPr>
          </w:p>
        </w:tc>
      </w:tr>
      <w:tr>
        <w:trPr>
          <w:trHeight w:val="183"/>
        </w:trPr>
        <w:tc>
          <w:tcPr>
            <w:tcW w:w="8140" w:type="dxa"/>
            <w:vAlign w:val="bottom"/>
          </w:tcPr>
          <w:p>
            <w:pPr>
              <w:ind w:left="340"/>
              <w:spacing w:after="0" w:line="182" w:lineRule="exact"/>
              <w:rPr>
                <w:sz w:val="20"/>
                <w:szCs w:val="20"/>
                <w:color w:val="auto"/>
              </w:rPr>
            </w:pPr>
            <w:r>
              <w:rPr>
                <w:rFonts w:ascii="Arial" w:cs="Arial" w:eastAsia="Arial" w:hAnsi="Arial"/>
                <w:sz w:val="18"/>
                <w:szCs w:val="18"/>
                <w:color w:val="auto"/>
              </w:rPr>
              <w:t>Net properties and equipment</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193,680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187,820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net book value of computer software at December 31, 2021 and 2020, was $9.0 million and $8.9 million, respectively. Depreciation expense for computer software was $5.8 million, $5.5 million and $4.6 million for the years ended December 31, 2021, 2020 and 2019, respectively.</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3"/>
          <w:szCs w:val="13"/>
          <w:b w:val="1"/>
          <w:bCs w:val="1"/>
          <w:color w:val="auto"/>
        </w:rPr>
        <w:t>Leases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IPUs and/or contract beds within hospitals. Roto-Rooter has leased office space.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The components of balance sheet information related to leases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auto"/>
                <w:w w:val="79"/>
              </w:rPr>
              <w:t>Assets</w:t>
            </w:r>
          </w:p>
        </w:tc>
        <w:tc>
          <w:tcPr>
            <w:tcW w:w="5420" w:type="dxa"/>
            <w:vAlign w:val="bottom"/>
            <w:gridSpan w:val="2"/>
            <w:vMerge w:val="restart"/>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Borders>
              <w:bottom w:val="single" w:sz="8" w:color="auto"/>
            </w:tcBorders>
          </w:tcPr>
          <w:p>
            <w:pPr>
              <w:jc w:val="right"/>
              <w:ind w:right="84"/>
              <w:spacing w:after="0" w:line="183" w:lineRule="exact"/>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26"/>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34"/>
        </w:trPr>
        <w:tc>
          <w:tcPr>
            <w:tcW w:w="440" w:type="dxa"/>
            <w:vAlign w:val="bottom"/>
            <w:tcBorders>
              <w:bottom w:val="single" w:sz="8" w:color="auto"/>
            </w:tcBorders>
            <w:vMerge w:val="continue"/>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1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6"/>
                <w:szCs w:val="16"/>
                <w:color w:val="auto"/>
              </w:rPr>
              <w:t>Operating lease assets</w:t>
            </w:r>
          </w:p>
        </w:tc>
        <w:tc>
          <w:tcPr>
            <w:tcW w:w="2840" w:type="dxa"/>
            <w:vAlign w:val="bottom"/>
            <w:gridSpan w:val="2"/>
          </w:tcPr>
          <w:p>
            <w:pPr>
              <w:jc w:val="right"/>
              <w:ind w:right="1124"/>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125,048</w:t>
            </w:r>
          </w:p>
        </w:tc>
        <w:tc>
          <w:tcPr>
            <w:tcW w:w="58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123,448</w:t>
            </w:r>
          </w:p>
        </w:tc>
        <w:tc>
          <w:tcPr>
            <w:tcW w:w="0" w:type="dxa"/>
            <w:vAlign w:val="bottom"/>
          </w:tcPr>
          <w:p>
            <w:pPr>
              <w:spacing w:after="0"/>
              <w:rPr>
                <w:sz w:val="1"/>
                <w:szCs w:val="1"/>
                <w:color w:val="auto"/>
              </w:rPr>
            </w:pPr>
          </w:p>
        </w:tc>
      </w:tr>
      <w:tr>
        <w:trPr>
          <w:trHeight w:val="343"/>
        </w:trPr>
        <w:tc>
          <w:tcPr>
            <w:tcW w:w="586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60" w:type="dxa"/>
            <w:vAlign w:val="bottom"/>
            <w:gridSpan w:val="3"/>
          </w:tcPr>
          <w:p>
            <w:pPr>
              <w:spacing w:after="0"/>
              <w:rPr>
                <w:sz w:val="20"/>
                <w:szCs w:val="20"/>
                <w:color w:val="auto"/>
              </w:rPr>
            </w:pPr>
            <w:r>
              <w:rPr>
                <w:rFonts w:ascii="Arial" w:cs="Arial" w:eastAsia="Arial" w:hAnsi="Arial"/>
                <w:sz w:val="16"/>
                <w:szCs w:val="16"/>
                <w:color w:val="auto"/>
              </w:rPr>
              <w:t>Current operating leases</w:t>
            </w: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37,913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36,200</w:t>
            </w:r>
          </w:p>
        </w:tc>
        <w:tc>
          <w:tcPr>
            <w:tcW w:w="0" w:type="dxa"/>
            <w:vAlign w:val="bottom"/>
          </w:tcPr>
          <w:p>
            <w:pPr>
              <w:spacing w:after="0"/>
              <w:rPr>
                <w:sz w:val="1"/>
                <w:szCs w:val="1"/>
                <w:color w:val="auto"/>
              </w:rPr>
            </w:pPr>
          </w:p>
        </w:tc>
      </w:tr>
      <w:tr>
        <w:trPr>
          <w:trHeight w:val="189"/>
        </w:trPr>
        <w:tc>
          <w:tcPr>
            <w:tcW w:w="5860" w:type="dxa"/>
            <w:vAlign w:val="bottom"/>
            <w:gridSpan w:val="3"/>
          </w:tcPr>
          <w:p>
            <w:pPr>
              <w:spacing w:after="0"/>
              <w:rPr>
                <w:sz w:val="20"/>
                <w:szCs w:val="20"/>
                <w:color w:val="auto"/>
              </w:rPr>
            </w:pPr>
            <w:r>
              <w:rPr>
                <w:rFonts w:ascii="Arial" w:cs="Arial" w:eastAsia="Arial" w:hAnsi="Arial"/>
                <w:sz w:val="16"/>
                <w:szCs w:val="16"/>
                <w:color w:val="auto"/>
              </w:rPr>
              <w:t>Noncurrent operating leases</w:t>
            </w: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100,629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99,210</w:t>
            </w:r>
          </w:p>
        </w:tc>
        <w:tc>
          <w:tcPr>
            <w:tcW w:w="0" w:type="dxa"/>
            <w:vAlign w:val="bottom"/>
          </w:tcPr>
          <w:p>
            <w:pPr>
              <w:spacing w:after="0"/>
              <w:rPr>
                <w:sz w:val="1"/>
                <w:szCs w:val="1"/>
                <w:color w:val="auto"/>
              </w:rPr>
            </w:pPr>
          </w:p>
        </w:tc>
      </w:tr>
      <w:tr>
        <w:trPr>
          <w:trHeight w:val="23"/>
        </w:trPr>
        <w:tc>
          <w:tcPr>
            <w:tcW w:w="5860" w:type="dxa"/>
            <w:vAlign w:val="bottom"/>
            <w:gridSpan w:val="3"/>
            <w:vMerge w:val="restart"/>
          </w:tcPr>
          <w:p>
            <w:pPr>
              <w:ind w:left="220"/>
              <w:spacing w:after="0"/>
              <w:rPr>
                <w:sz w:val="20"/>
                <w:szCs w:val="20"/>
                <w:color w:val="auto"/>
              </w:rPr>
            </w:pPr>
            <w:r>
              <w:rPr>
                <w:rFonts w:ascii="Arial" w:cs="Arial" w:eastAsia="Arial" w:hAnsi="Arial"/>
                <w:sz w:val="16"/>
                <w:szCs w:val="16"/>
                <w:color w:val="auto"/>
              </w:rPr>
              <w:t>Total operating lease liabilities</w:t>
            </w:r>
          </w:p>
        </w:tc>
        <w:tc>
          <w:tcPr>
            <w:tcW w:w="1560" w:type="dxa"/>
            <w:vAlign w:val="bottom"/>
            <w:vMerge w:val="restart"/>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60" w:type="dxa"/>
            <w:vAlign w:val="bottom"/>
            <w:gridSpan w:val="3"/>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280" w:type="dxa"/>
            <w:vAlign w:val="bottom"/>
            <w:tcBorders>
              <w:bottom w:val="single" w:sz="8" w:color="auto"/>
            </w:tcBorders>
          </w:tcPr>
          <w:p>
            <w:pPr>
              <w:jc w:val="right"/>
              <w:ind w:right="1124"/>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138,542</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135,410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gridSpan w:val="2"/>
            <w:vMerge w:val="restart"/>
          </w:tcPr>
          <w:p>
            <w:pPr>
              <w:ind w:left="220"/>
              <w:spacing w:after="0"/>
              <w:rPr>
                <w:sz w:val="20"/>
                <w:szCs w:val="20"/>
                <w:color w:val="auto"/>
              </w:rPr>
            </w:pPr>
            <w:r>
              <w:rPr>
                <w:rFonts w:ascii="Arial" w:cs="Arial" w:eastAsia="Arial" w:hAnsi="Arial"/>
                <w:sz w:val="18"/>
                <w:szCs w:val="18"/>
                <w:color w:val="auto"/>
              </w:rPr>
              <w:t>The components of lease expense were as follows:</w:t>
            </w:r>
          </w:p>
        </w:tc>
        <w:tc>
          <w:tcPr>
            <w:tcW w:w="1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Expense (a)</w:t>
            </w:r>
          </w:p>
        </w:tc>
        <w:tc>
          <w:tcPr>
            <w:tcW w:w="4200" w:type="dxa"/>
            <w:vAlign w:val="bottom"/>
            <w:gridSpan w:val="2"/>
          </w:tcPr>
          <w:p>
            <w:pPr>
              <w:jc w:val="right"/>
              <w:ind w:right="88"/>
              <w:spacing w:after="0"/>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ind w:right="62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28"/>
        </w:trPr>
        <w:tc>
          <w:tcPr>
            <w:tcW w:w="450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00" w:type="dxa"/>
            <w:vAlign w:val="bottom"/>
            <w:gridSpan w:val="2"/>
          </w:tcPr>
          <w:p>
            <w:pPr>
              <w:spacing w:after="0"/>
              <w:rPr>
                <w:sz w:val="20"/>
                <w:szCs w:val="20"/>
                <w:color w:val="auto"/>
              </w:rPr>
            </w:pPr>
            <w:r>
              <w:rPr>
                <w:rFonts w:ascii="Arial" w:cs="Arial" w:eastAsia="Arial" w:hAnsi="Arial"/>
                <w:sz w:val="16"/>
                <w:szCs w:val="16"/>
                <w:color w:val="auto"/>
              </w:rPr>
              <w:t>Operating lease expense</w:t>
            </w:r>
          </w:p>
        </w:tc>
        <w:tc>
          <w:tcPr>
            <w:tcW w:w="420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61,474</w:t>
            </w:r>
          </w:p>
        </w:tc>
        <w:tc>
          <w:tcPr>
            <w:tcW w:w="180" w:type="dxa"/>
            <w:vAlign w:val="bottom"/>
          </w:tcPr>
          <w:p>
            <w:pPr>
              <w:spacing w:after="0"/>
              <w:rPr>
                <w:sz w:val="21"/>
                <w:szCs w:val="21"/>
                <w:color w:val="auto"/>
              </w:rPr>
            </w:pPr>
          </w:p>
        </w:tc>
        <w:tc>
          <w:tcPr>
            <w:tcW w:w="500" w:type="dxa"/>
            <w:vAlign w:val="bottom"/>
            <w:gridSpan w:val="2"/>
          </w:tcPr>
          <w:p>
            <w:pPr>
              <w:jc w:val="right"/>
              <w:ind w:right="36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60,195</w:t>
            </w: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6"/>
                <w:szCs w:val="16"/>
                <w:color w:val="auto"/>
              </w:rPr>
              <w:t>Sublease income</w:t>
            </w: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(181)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47"/>
        </w:trPr>
        <w:tc>
          <w:tcPr>
            <w:tcW w:w="4500" w:type="dxa"/>
            <w:vAlign w:val="bottom"/>
            <w:gridSpan w:val="2"/>
            <w:vMerge w:val="restart"/>
          </w:tcPr>
          <w:p>
            <w:pPr>
              <w:ind w:left="220"/>
              <w:spacing w:after="0"/>
              <w:rPr>
                <w:sz w:val="20"/>
                <w:szCs w:val="20"/>
                <w:color w:val="auto"/>
              </w:rPr>
            </w:pPr>
            <w:r>
              <w:rPr>
                <w:rFonts w:ascii="Arial" w:cs="Arial" w:eastAsia="Arial" w:hAnsi="Arial"/>
                <w:sz w:val="16"/>
                <w:szCs w:val="16"/>
                <w:color w:val="auto"/>
              </w:rPr>
              <w:t>Net lease expense</w:t>
            </w:r>
          </w:p>
        </w:tc>
        <w:tc>
          <w:tcPr>
            <w:tcW w:w="2920" w:type="dxa"/>
            <w:vAlign w:val="bottom"/>
            <w:vMerge w:val="restart"/>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500" w:type="dxa"/>
            <w:vAlign w:val="bottom"/>
            <w:gridSpan w:val="2"/>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280" w:type="dxa"/>
            <w:vAlign w:val="bottom"/>
          </w:tcPr>
          <w:p>
            <w:pPr>
              <w:jc w:val="right"/>
              <w:ind w:right="11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61,293</w:t>
            </w:r>
          </w:p>
        </w:tc>
        <w:tc>
          <w:tcPr>
            <w:tcW w:w="1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60,112</w:t>
            </w: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immaterial. Included in both cost of services provided and goods sold and selling, general and administrative expenses.</w:t>
      </w:r>
    </w:p>
    <w:p>
      <w:pPr>
        <w:sectPr>
          <w:pgSz w:w="11900" w:h="16838" w:orient="portrait"/>
          <w:cols w:equalWidth="0" w:num="1">
            <w:col w:w="11240"/>
          </w:cols>
          <w:pgMar w:left="320" w:top="301" w:right="339" w:bottom="1440" w:gutter="0" w:footer="0" w:header="0"/>
        </w:sectPr>
      </w:pPr>
    </w:p>
    <w:p>
      <w:pPr>
        <w:spacing w:after="0" w:line="276"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The components of cash flow information related to leases were as follows:</w:t>
      </w:r>
    </w:p>
    <w:p>
      <w:pPr>
        <w:spacing w:after="0" w:line="200" w:lineRule="exact"/>
        <w:rPr>
          <w:sz w:val="20"/>
          <w:szCs w:val="20"/>
          <w:color w:val="auto"/>
        </w:rPr>
      </w:pPr>
    </w:p>
    <w:p>
      <w:pPr>
        <w:spacing w:after="0" w:line="363" w:lineRule="exact"/>
        <w:rPr>
          <w:sz w:val="20"/>
          <w:szCs w:val="20"/>
          <w:color w:val="auto"/>
        </w:rPr>
      </w:pPr>
    </w:p>
    <w:p>
      <w:pPr>
        <w:ind w:left="220" w:right="1940" w:hanging="219"/>
        <w:spacing w:after="0" w:line="298" w:lineRule="auto"/>
        <w:rPr>
          <w:sz w:val="20"/>
          <w:szCs w:val="20"/>
          <w:color w:val="auto"/>
        </w:rPr>
      </w:pPr>
      <w:r>
        <w:rPr>
          <w:rFonts w:ascii="Arial" w:cs="Arial" w:eastAsia="Arial" w:hAnsi="Arial"/>
          <w:sz w:val="16"/>
          <w:szCs w:val="16"/>
          <w:b w:val="1"/>
          <w:bCs w:val="1"/>
          <w:u w:val="single" w:color="auto"/>
          <w:color w:val="auto"/>
        </w:rPr>
        <w:t xml:space="preserve">Cash paid for amounts included in the measurement of lease liabilities </w:t>
      </w:r>
      <w:r>
        <w:rPr>
          <w:rFonts w:ascii="Arial" w:cs="Arial" w:eastAsia="Arial" w:hAnsi="Arial"/>
          <w:sz w:val="16"/>
          <w:szCs w:val="16"/>
          <w:color w:val="auto"/>
        </w:rPr>
        <w:t>Operating cash flows from leases</w:t>
      </w:r>
    </w:p>
    <w:p>
      <w:pPr>
        <w:spacing w:after="0" w:line="70" w:lineRule="exact"/>
        <w:rPr>
          <w:sz w:val="20"/>
          <w:szCs w:val="20"/>
          <w:color w:val="auto"/>
        </w:rPr>
      </w:pPr>
    </w:p>
    <w:p>
      <w:pPr>
        <w:ind w:right="2040"/>
        <w:spacing w:after="0" w:line="434" w:lineRule="auto"/>
        <w:rPr>
          <w:sz w:val="20"/>
          <w:szCs w:val="20"/>
          <w:color w:val="auto"/>
        </w:rPr>
      </w:pPr>
      <w:r>
        <w:rPr>
          <w:rFonts w:ascii="Arial" w:cs="Arial" w:eastAsia="Arial" w:hAnsi="Arial"/>
          <w:sz w:val="16"/>
          <w:szCs w:val="16"/>
          <w:b w:val="1"/>
          <w:bCs w:val="1"/>
          <w:u w:val="single" w:color="auto"/>
          <w:color w:val="auto"/>
        </w:rPr>
        <w:t xml:space="preserve">Leased assets obtained in exchange for new operating lease liabilities </w:t>
      </w:r>
      <w:r>
        <w:rPr>
          <w:rFonts w:ascii="Arial" w:cs="Arial" w:eastAsia="Arial" w:hAnsi="Arial"/>
          <w:sz w:val="16"/>
          <w:szCs w:val="16"/>
          <w:b w:val="1"/>
          <w:bCs w:val="1"/>
          <w:color w:val="auto"/>
        </w:rPr>
        <w:t>Weighted Average Remaining Lease Term</w:t>
      </w:r>
    </w:p>
    <w:p>
      <w:pPr>
        <w:ind w:left="220"/>
        <w:spacing w:after="0"/>
        <w:rPr>
          <w:sz w:val="20"/>
          <w:szCs w:val="20"/>
          <w:color w:val="auto"/>
        </w:rPr>
      </w:pPr>
      <w:r>
        <w:rPr>
          <w:rFonts w:ascii="Arial" w:cs="Arial" w:eastAsia="Arial" w:hAnsi="Arial"/>
          <w:sz w:val="16"/>
          <w:szCs w:val="16"/>
          <w:color w:val="auto"/>
        </w:rPr>
        <w:t>Operating leases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Discount Rate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Operating leases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Maturity of Operating Lease Liabilities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45"/>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65"/>
              <w:spacing w:after="0" w:line="169" w:lineRule="exact"/>
              <w:rPr>
                <w:sz w:val="20"/>
                <w:szCs w:val="20"/>
                <w:color w:val="auto"/>
              </w:rPr>
            </w:pPr>
            <w:r>
              <w:rPr>
                <w:rFonts w:ascii="Arial" w:cs="Arial" w:eastAsia="Arial" w:hAnsi="Arial"/>
                <w:sz w:val="16"/>
                <w:szCs w:val="16"/>
                <w:b w:val="1"/>
                <w:bCs w:val="1"/>
                <w:color w:val="auto"/>
              </w:rPr>
              <w:t>2020</w:t>
            </w:r>
          </w:p>
        </w:tc>
      </w:tr>
      <w:tr>
        <w:trPr>
          <w:trHeight w:val="346"/>
        </w:trPr>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50,990</w:t>
            </w:r>
          </w:p>
        </w:tc>
        <w:tc>
          <w:tcPr>
            <w:tcW w:w="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49,932</w:t>
            </w:r>
          </w:p>
        </w:tc>
      </w:tr>
      <w:tr>
        <w:trPr>
          <w:trHeight w:val="324"/>
        </w:trPr>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52,878</w:t>
            </w:r>
          </w:p>
        </w:tc>
        <w:tc>
          <w:tcPr>
            <w:tcW w:w="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58,802</w:t>
            </w:r>
          </w:p>
        </w:tc>
      </w:tr>
    </w:tbl>
    <w:p>
      <w:pPr>
        <w:spacing w:after="0" w:line="200" w:lineRule="exact"/>
        <w:rPr>
          <w:sz w:val="20"/>
          <w:szCs w:val="20"/>
          <w:color w:val="auto"/>
        </w:rPr>
      </w:pPr>
    </w:p>
    <w:p>
      <w:pPr>
        <w:spacing w:after="0" w:line="293" w:lineRule="exact"/>
        <w:rPr>
          <w:sz w:val="20"/>
          <w:szCs w:val="20"/>
          <w:color w:val="auto"/>
        </w:rPr>
      </w:pPr>
    </w:p>
    <w:p>
      <w:pPr>
        <w:ind w:left="2980"/>
        <w:spacing w:after="0"/>
        <w:tabs>
          <w:tab w:leader="none" w:pos="3380" w:val="left"/>
        </w:tabs>
        <w:rPr>
          <w:sz w:val="20"/>
          <w:szCs w:val="20"/>
          <w:color w:val="auto"/>
        </w:rPr>
      </w:pPr>
      <w:r>
        <w:rPr>
          <w:rFonts w:ascii="Arial" w:cs="Arial" w:eastAsia="Arial" w:hAnsi="Arial"/>
          <w:sz w:val="14"/>
          <w:szCs w:val="14"/>
          <w:color w:val="auto"/>
        </w:rPr>
        <w:t>4.61</w:t>
      </w:r>
      <w:r>
        <w:rPr>
          <w:sz w:val="20"/>
          <w:szCs w:val="20"/>
          <w:color w:val="auto"/>
        </w:rPr>
        <w:tab/>
      </w:r>
      <w:r>
        <w:rPr>
          <w:rFonts w:ascii="Arial" w:cs="Arial" w:eastAsia="Arial" w:hAnsi="Arial"/>
          <w:sz w:val="12"/>
          <w:szCs w:val="12"/>
          <w:color w:val="auto"/>
        </w:rPr>
        <w:t>years</w:t>
      </w:r>
    </w:p>
    <w:p>
      <w:pPr>
        <w:spacing w:after="0" w:line="200" w:lineRule="exact"/>
        <w:rPr>
          <w:sz w:val="20"/>
          <w:szCs w:val="20"/>
          <w:color w:val="auto"/>
        </w:rPr>
      </w:pPr>
    </w:p>
    <w:p>
      <w:pPr>
        <w:spacing w:after="0" w:line="328"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2.41%</w:t>
      </w:r>
    </w:p>
    <w:p>
      <w:pPr>
        <w:spacing w:after="0" w:line="632" w:lineRule="exact"/>
        <w:rPr>
          <w:sz w:val="20"/>
          <w:szCs w:val="20"/>
          <w:color w:val="auto"/>
        </w:rPr>
      </w:pPr>
    </w:p>
    <w:p>
      <w:pPr>
        <w:sectPr>
          <w:pgSz w:w="11900" w:h="16838" w:orient="portrait"/>
          <w:cols w:equalWidth="0" w:num="2">
            <w:col w:w="6780" w:space="720"/>
            <w:col w:w="3740"/>
          </w:cols>
          <w:pgMar w:left="320" w:top="301" w:right="339" w:bottom="1440" w:gutter="0" w:footer="0" w:header="0"/>
          <w:type w:val="continuous"/>
        </w:sectPr>
      </w:pP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8600" w:type="dxa"/>
            <w:vAlign w:val="bottom"/>
            <w:vMerge w:val="restart"/>
          </w:tcPr>
          <w:p>
            <w:pPr>
              <w:spacing w:after="0"/>
              <w:rPr>
                <w:sz w:val="20"/>
                <w:szCs w:val="20"/>
                <w:color w:val="auto"/>
              </w:rPr>
            </w:pPr>
            <w:r>
              <w:rPr>
                <w:rFonts w:ascii="Arial" w:cs="Arial" w:eastAsia="Arial" w:hAnsi="Arial"/>
                <w:sz w:val="16"/>
                <w:szCs w:val="16"/>
                <w:color w:val="auto"/>
              </w:rPr>
              <w:t>2022</w:t>
            </w:r>
          </w:p>
        </w:tc>
        <w:tc>
          <w:tcPr>
            <w:tcW w:w="940" w:type="dxa"/>
            <w:vAlign w:val="bottom"/>
            <w:vMerge w:val="restart"/>
          </w:tcPr>
          <w:p>
            <w:pPr>
              <w:jc w:val="right"/>
              <w:ind w:right="82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42,726</w:t>
            </w:r>
          </w:p>
        </w:tc>
        <w:tc>
          <w:tcPr>
            <w:tcW w:w="0" w:type="dxa"/>
            <w:vAlign w:val="bottom"/>
          </w:tcPr>
          <w:p>
            <w:pPr>
              <w:spacing w:after="0"/>
              <w:rPr>
                <w:sz w:val="1"/>
                <w:szCs w:val="1"/>
                <w:color w:val="auto"/>
              </w:rPr>
            </w:pPr>
          </w:p>
        </w:tc>
      </w:tr>
      <w:tr>
        <w:trPr>
          <w:trHeight w:val="87"/>
        </w:trPr>
        <w:tc>
          <w:tcPr>
            <w:tcW w:w="86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33,700</w:t>
            </w:r>
          </w:p>
        </w:tc>
        <w:tc>
          <w:tcPr>
            <w:tcW w:w="0" w:type="dxa"/>
            <w:vAlign w:val="bottom"/>
          </w:tcPr>
          <w:p>
            <w:pPr>
              <w:spacing w:after="0"/>
              <w:rPr>
                <w:sz w:val="1"/>
                <w:szCs w:val="1"/>
                <w:color w:val="auto"/>
              </w:rPr>
            </w:pPr>
          </w:p>
        </w:tc>
      </w:tr>
      <w:tr>
        <w:trPr>
          <w:trHeight w:val="143"/>
        </w:trPr>
        <w:tc>
          <w:tcPr>
            <w:tcW w:w="8600" w:type="dxa"/>
            <w:vAlign w:val="bottom"/>
            <w:vMerge w:val="restart"/>
          </w:tcPr>
          <w:p>
            <w:pPr>
              <w:spacing w:after="0"/>
              <w:rPr>
                <w:sz w:val="20"/>
                <w:szCs w:val="20"/>
                <w:color w:val="auto"/>
              </w:rPr>
            </w:pPr>
            <w:r>
              <w:rPr>
                <w:rFonts w:ascii="Arial" w:cs="Arial" w:eastAsia="Arial" w:hAnsi="Arial"/>
                <w:sz w:val="16"/>
                <w:szCs w:val="16"/>
                <w:color w:val="auto"/>
              </w:rPr>
              <w:t>2023</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25,879</w:t>
            </w:r>
          </w:p>
        </w:tc>
        <w:tc>
          <w:tcPr>
            <w:tcW w:w="0" w:type="dxa"/>
            <w:vAlign w:val="bottom"/>
          </w:tcPr>
          <w:p>
            <w:pPr>
              <w:spacing w:after="0"/>
              <w:rPr>
                <w:sz w:val="1"/>
                <w:szCs w:val="1"/>
                <w:color w:val="auto"/>
              </w:rPr>
            </w:pPr>
          </w:p>
        </w:tc>
      </w:tr>
      <w:tr>
        <w:trPr>
          <w:trHeight w:val="143"/>
        </w:trPr>
        <w:tc>
          <w:tcPr>
            <w:tcW w:w="8600" w:type="dxa"/>
            <w:vAlign w:val="bottom"/>
            <w:vMerge w:val="restart"/>
          </w:tcPr>
          <w:p>
            <w:pPr>
              <w:spacing w:after="0"/>
              <w:rPr>
                <w:sz w:val="20"/>
                <w:szCs w:val="20"/>
                <w:color w:val="auto"/>
              </w:rPr>
            </w:pPr>
            <w:r>
              <w:rPr>
                <w:rFonts w:ascii="Arial" w:cs="Arial" w:eastAsia="Arial" w:hAnsi="Arial"/>
                <w:sz w:val="16"/>
                <w:szCs w:val="16"/>
                <w:color w:val="auto"/>
              </w:rPr>
              <w:t>2024</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18,596</w:t>
            </w:r>
          </w:p>
        </w:tc>
        <w:tc>
          <w:tcPr>
            <w:tcW w:w="0" w:type="dxa"/>
            <w:vAlign w:val="bottom"/>
          </w:tcPr>
          <w:p>
            <w:pPr>
              <w:spacing w:after="0"/>
              <w:rPr>
                <w:sz w:val="1"/>
                <w:szCs w:val="1"/>
                <w:color w:val="auto"/>
              </w:rPr>
            </w:pPr>
          </w:p>
        </w:tc>
      </w:tr>
      <w:tr>
        <w:trPr>
          <w:trHeight w:val="143"/>
        </w:trPr>
        <w:tc>
          <w:tcPr>
            <w:tcW w:w="8600" w:type="dxa"/>
            <w:vAlign w:val="bottom"/>
            <w:vMerge w:val="restart"/>
          </w:tcPr>
          <w:p>
            <w:pPr>
              <w:spacing w:after="0"/>
              <w:rPr>
                <w:sz w:val="20"/>
                <w:szCs w:val="20"/>
                <w:color w:val="auto"/>
              </w:rPr>
            </w:pPr>
            <w:r>
              <w:rPr>
                <w:rFonts w:ascii="Arial" w:cs="Arial" w:eastAsia="Arial" w:hAnsi="Arial"/>
                <w:sz w:val="16"/>
                <w:szCs w:val="16"/>
                <w:color w:val="auto"/>
              </w:rPr>
              <w:t>2025</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11,729</w:t>
            </w:r>
          </w:p>
        </w:tc>
        <w:tc>
          <w:tcPr>
            <w:tcW w:w="0" w:type="dxa"/>
            <w:vAlign w:val="bottom"/>
          </w:tcPr>
          <w:p>
            <w:pPr>
              <w:spacing w:after="0"/>
              <w:rPr>
                <w:sz w:val="1"/>
                <w:szCs w:val="1"/>
                <w:color w:val="auto"/>
              </w:rPr>
            </w:pPr>
          </w:p>
        </w:tc>
      </w:tr>
      <w:tr>
        <w:trPr>
          <w:trHeight w:val="143"/>
        </w:trPr>
        <w:tc>
          <w:tcPr>
            <w:tcW w:w="8600" w:type="dxa"/>
            <w:vAlign w:val="bottom"/>
            <w:vMerge w:val="restart"/>
          </w:tcPr>
          <w:p>
            <w:pPr>
              <w:spacing w:after="0"/>
              <w:rPr>
                <w:sz w:val="20"/>
                <w:szCs w:val="20"/>
                <w:color w:val="auto"/>
              </w:rPr>
            </w:pPr>
            <w:r>
              <w:rPr>
                <w:rFonts w:ascii="Arial" w:cs="Arial" w:eastAsia="Arial" w:hAnsi="Arial"/>
                <w:sz w:val="16"/>
                <w:szCs w:val="16"/>
                <w:color w:val="auto"/>
              </w:rPr>
              <w:t>2026</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13,950</w:t>
            </w:r>
          </w:p>
        </w:tc>
        <w:tc>
          <w:tcPr>
            <w:tcW w:w="0" w:type="dxa"/>
            <w:vAlign w:val="bottom"/>
          </w:tcPr>
          <w:p>
            <w:pPr>
              <w:spacing w:after="0"/>
              <w:rPr>
                <w:sz w:val="1"/>
                <w:szCs w:val="1"/>
                <w:color w:val="auto"/>
              </w:rPr>
            </w:pPr>
          </w:p>
        </w:tc>
      </w:tr>
      <w:tr>
        <w:trPr>
          <w:trHeight w:val="143"/>
        </w:trPr>
        <w:tc>
          <w:tcPr>
            <w:tcW w:w="8600" w:type="dxa"/>
            <w:vAlign w:val="bottom"/>
            <w:vMerge w:val="restart"/>
          </w:tcPr>
          <w:p>
            <w:pPr>
              <w:spacing w:after="0"/>
              <w:rPr>
                <w:sz w:val="20"/>
                <w:szCs w:val="20"/>
                <w:color w:val="auto"/>
              </w:rPr>
            </w:pPr>
            <w:r>
              <w:rPr>
                <w:rFonts w:ascii="Arial" w:cs="Arial" w:eastAsia="Arial" w:hAnsi="Arial"/>
                <w:sz w:val="16"/>
                <w:szCs w:val="16"/>
                <w:color w:val="auto"/>
              </w:rPr>
              <w:t>Thereafter</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600" w:type="dxa"/>
            <w:vAlign w:val="bottom"/>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320"/>
              <w:spacing w:after="0"/>
              <w:rPr>
                <w:sz w:val="20"/>
                <w:szCs w:val="20"/>
                <w:color w:val="auto"/>
              </w:rPr>
            </w:pPr>
            <w:r>
              <w:rPr>
                <w:rFonts w:ascii="Arial" w:cs="Arial" w:eastAsia="Arial" w:hAnsi="Arial"/>
                <w:sz w:val="16"/>
                <w:szCs w:val="16"/>
                <w:color w:val="auto"/>
              </w:rPr>
              <w:t>Total lease payments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146,580</w:t>
            </w:r>
          </w:p>
        </w:tc>
        <w:tc>
          <w:tcPr>
            <w:tcW w:w="0" w:type="dxa"/>
            <w:vAlign w:val="bottom"/>
          </w:tcPr>
          <w:p>
            <w:pPr>
              <w:spacing w:after="0"/>
              <w:rPr>
                <w:sz w:val="1"/>
                <w:szCs w:val="1"/>
                <w:color w:val="auto"/>
              </w:rPr>
            </w:pPr>
          </w:p>
        </w:tc>
      </w:tr>
      <w:tr>
        <w:trPr>
          <w:trHeight w:val="190"/>
        </w:trPr>
        <w:tc>
          <w:tcPr>
            <w:tcW w:w="8600" w:type="dxa"/>
            <w:vAlign w:val="bottom"/>
          </w:tcPr>
          <w:p>
            <w:pPr>
              <w:spacing w:after="0"/>
              <w:rPr>
                <w:sz w:val="20"/>
                <w:szCs w:val="20"/>
                <w:color w:val="auto"/>
              </w:rPr>
            </w:pPr>
            <w:r>
              <w:rPr>
                <w:rFonts w:ascii="Arial" w:cs="Arial" w:eastAsia="Arial" w:hAnsi="Arial"/>
                <w:sz w:val="16"/>
                <w:szCs w:val="16"/>
                <w:color w:val="auto"/>
              </w:rPr>
              <w:t>Less: interest</w:t>
            </w:r>
          </w:p>
        </w:tc>
        <w:tc>
          <w:tcPr>
            <w:tcW w:w="9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(8,014)</w:t>
            </w:r>
          </w:p>
        </w:tc>
        <w:tc>
          <w:tcPr>
            <w:tcW w:w="0" w:type="dxa"/>
            <w:vAlign w:val="bottom"/>
          </w:tcPr>
          <w:p>
            <w:pPr>
              <w:spacing w:after="0"/>
              <w:rPr>
                <w:sz w:val="1"/>
                <w:szCs w:val="1"/>
                <w:color w:val="auto"/>
              </w:rPr>
            </w:pPr>
          </w:p>
        </w:tc>
      </w:tr>
      <w:tr>
        <w:trPr>
          <w:trHeight w:val="182"/>
        </w:trPr>
        <w:tc>
          <w:tcPr>
            <w:tcW w:w="8600" w:type="dxa"/>
            <w:vAlign w:val="bottom"/>
            <w:vMerge w:val="restart"/>
          </w:tcPr>
          <w:p>
            <w:pPr>
              <w:spacing w:after="0"/>
              <w:rPr>
                <w:sz w:val="20"/>
                <w:szCs w:val="20"/>
                <w:color w:val="auto"/>
              </w:rPr>
            </w:pPr>
            <w:r>
              <w:rPr>
                <w:rFonts w:ascii="Arial" w:cs="Arial" w:eastAsia="Arial" w:hAnsi="Arial"/>
                <w:sz w:val="16"/>
                <w:szCs w:val="16"/>
                <w:color w:val="auto"/>
              </w:rPr>
              <w:t>Less: lease obligations signed but not yet commenced</w:t>
            </w:r>
          </w:p>
        </w:tc>
        <w:tc>
          <w:tcPr>
            <w:tcW w:w="9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66"/>
        </w:trPr>
        <w:tc>
          <w:tcPr>
            <w:tcW w:w="8600" w:type="dxa"/>
            <w:vAlign w:val="bottom"/>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0" w:type="dxa"/>
            <w:vAlign w:val="bottom"/>
            <w:vMerge w:val="restart"/>
          </w:tcPr>
          <w:p>
            <w:pPr>
              <w:ind w:left="320"/>
              <w:spacing w:after="0"/>
              <w:rPr>
                <w:sz w:val="20"/>
                <w:szCs w:val="20"/>
                <w:color w:val="auto"/>
              </w:rPr>
            </w:pPr>
            <w:r>
              <w:rPr>
                <w:rFonts w:ascii="Arial" w:cs="Arial" w:eastAsia="Arial" w:hAnsi="Arial"/>
                <w:sz w:val="16"/>
                <w:szCs w:val="16"/>
                <w:color w:val="auto"/>
              </w:rPr>
              <w:t>Total liability recognized on the balance sheet</w:t>
            </w:r>
          </w:p>
        </w:tc>
        <w:tc>
          <w:tcPr>
            <w:tcW w:w="940" w:type="dxa"/>
            <w:vAlign w:val="bottom"/>
            <w:vMerge w:val="restart"/>
          </w:tcPr>
          <w:p>
            <w:pPr>
              <w:jc w:val="right"/>
              <w:ind w:right="82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138,542</w:t>
            </w:r>
          </w:p>
        </w:tc>
        <w:tc>
          <w:tcPr>
            <w:tcW w:w="0" w:type="dxa"/>
            <w:vAlign w:val="bottom"/>
          </w:tcPr>
          <w:p>
            <w:pPr>
              <w:spacing w:after="0"/>
              <w:rPr>
                <w:sz w:val="1"/>
                <w:szCs w:val="1"/>
                <w:color w:val="auto"/>
              </w:rPr>
            </w:pPr>
          </w:p>
        </w:tc>
      </w:tr>
      <w:tr>
        <w:trPr>
          <w:trHeight w:val="20"/>
        </w:trPr>
        <w:tc>
          <w:tcPr>
            <w:tcW w:w="8600" w:type="dxa"/>
            <w:vAlign w:val="bottom"/>
            <w:vMerge w:val="continue"/>
          </w:tcPr>
          <w:p>
            <w:pPr>
              <w:spacing w:after="0" w:line="20" w:lineRule="exact"/>
              <w:rPr>
                <w:sz w:val="1"/>
                <w:szCs w:val="1"/>
                <w:color w:val="auto"/>
              </w:rPr>
            </w:pPr>
          </w:p>
        </w:tc>
        <w:tc>
          <w:tcPr>
            <w:tcW w:w="940" w:type="dxa"/>
            <w:vAlign w:val="bottom"/>
            <w:tcBorders>
              <w:bottom w:val="single" w:sz="8" w:color="auto"/>
            </w:tcBorders>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leases commencing prior to 2019, minimum rental payments exclude payments to landlords for real estate taxes and common area maintenance. Operating lease payments include $2.0 million related to extended lease terms that are reasonably certain of being exercised and exclude $24,000 of lease payments for leases signed but not yet commenced.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9" w:name="page70"/>
    <w:bookmarkEnd w:id="69"/>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Retirement Plans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Retirement obligations under various plans cover substantially all full-time employees who meet age and/or service eligibility requirements. All plans providing retirement benefits to our employees are defined contribution plans. Expenses for our retirement and profit-sharing plans, excess benefit plans and other similar plans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For the Years Ended December 31,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right"/>
              <w:ind w:right="1255"/>
              <w:spacing w:after="0" w:line="182" w:lineRule="exact"/>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jc w:val="right"/>
              <w:ind w:right="1253"/>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1255"/>
              <w:spacing w:after="0" w:line="182" w:lineRule="exact"/>
              <w:rPr>
                <w:sz w:val="20"/>
                <w:szCs w:val="20"/>
                <w:color w:val="auto"/>
              </w:rPr>
            </w:pPr>
            <w:r>
              <w:rPr>
                <w:rFonts w:ascii="Arial" w:cs="Arial" w:eastAsia="Arial" w:hAnsi="Arial"/>
                <w:sz w:val="18"/>
                <w:szCs w:val="18"/>
                <w:color w:val="auto"/>
              </w:rPr>
              <w:t>2019</w:t>
            </w:r>
          </w:p>
        </w:tc>
      </w:tr>
      <w:tr>
        <w:trPr>
          <w:trHeight w:val="393"/>
        </w:trPr>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27,332</w:t>
            </w:r>
          </w:p>
        </w:tc>
        <w:tc>
          <w:tcPr>
            <w:tcW w:w="4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3380" w:type="dxa"/>
            <w:vAlign w:val="bottom"/>
            <w:gridSpan w:val="2"/>
          </w:tcPr>
          <w:p>
            <w:pPr>
              <w:jc w:val="right"/>
              <w:ind w:right="200"/>
              <w:spacing w:after="0"/>
              <w:rPr>
                <w:sz w:val="20"/>
                <w:szCs w:val="20"/>
                <w:color w:val="auto"/>
              </w:rPr>
            </w:pPr>
            <w:r>
              <w:rPr>
                <w:rFonts w:ascii="Arial" w:cs="Arial" w:eastAsia="Arial" w:hAnsi="Arial"/>
                <w:sz w:val="16"/>
                <w:szCs w:val="16"/>
                <w:color w:val="auto"/>
              </w:rPr>
              <w:t>27,044</w:t>
            </w:r>
          </w:p>
        </w:tc>
        <w:tc>
          <w:tcPr>
            <w:tcW w:w="1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6"/>
                <w:szCs w:val="16"/>
                <w:color w:val="auto"/>
              </w:rPr>
              <w:t>25,529</w:t>
            </w: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expenses include the impact of market gains and losses on assets held in deferred compensation plans.</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Trust assets invested in shares of our stock are included in treasury stock, and the corresponding liability is included in a separate component of stockholders’ equity. At December 31, 2021, these trusts held 65,663 shares at historical average cost of $2.2 million (2020 – 74,262 shares or $2.3 million).</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have excess benefit plans for key employees whose participation in the qualified plans is limited by U.S. Employee Retirement Income Security Act requirements. Benefits are determined based on theoretical participation in the qualified plans. Benefits are only invested in mutual funds, and participants are not permitted to diversify accumulated benefits in shares of our capital stock.</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Earnings Per Share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computation of earnings per share follows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vMerge w:val="restart"/>
          </w:tcPr>
          <w:p>
            <w:pPr>
              <w:ind w:left="900"/>
              <w:spacing w:after="0"/>
              <w:rPr>
                <w:sz w:val="20"/>
                <w:szCs w:val="20"/>
                <w:color w:val="auto"/>
              </w:rPr>
            </w:pPr>
            <w:r>
              <w:rPr>
                <w:rFonts w:ascii="Arial" w:cs="Arial" w:eastAsia="Arial" w:hAnsi="Arial"/>
                <w:sz w:val="16"/>
                <w:szCs w:val="16"/>
                <w:b w:val="1"/>
                <w:bCs w:val="1"/>
                <w:color w:val="auto"/>
              </w:rPr>
              <w:t>For the Years Ended December 31,</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92"/>
              </w:rPr>
              <w:t>Net Income</w:t>
            </w: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2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13"/>
                <w:szCs w:val="13"/>
                <w:color w:val="auto"/>
              </w:rPr>
            </w:pPr>
          </w:p>
        </w:tc>
        <w:tc>
          <w:tcPr>
            <w:tcW w:w="1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6"/>
              </w:rPr>
              <w:t>Shares</w:t>
            </w:r>
          </w:p>
        </w:tc>
        <w:tc>
          <w:tcPr>
            <w:tcW w:w="30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6"/>
                <w:szCs w:val="16"/>
                <w:b w:val="1"/>
                <w:bCs w:val="1"/>
                <w:color w:val="auto"/>
              </w:rPr>
              <w:t>Earnings 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80"/>
              <w:spacing w:after="0" w:line="142"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9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17.14</w:t>
            </w:r>
          </w:p>
        </w:tc>
        <w:tc>
          <w:tcPr>
            <w:tcW w:w="0" w:type="dxa"/>
            <w:vAlign w:val="bottom"/>
          </w:tcPr>
          <w:p>
            <w:pPr>
              <w:spacing w:after="0"/>
              <w:rPr>
                <w:sz w:val="1"/>
                <w:szCs w:val="1"/>
                <w:color w:val="auto"/>
              </w:rPr>
            </w:pPr>
          </w:p>
        </w:tc>
      </w:tr>
      <w:tr>
        <w:trPr>
          <w:trHeight w:val="176"/>
        </w:trPr>
        <w:tc>
          <w:tcPr>
            <w:tcW w:w="4220" w:type="dxa"/>
            <w:vAlign w:val="bottom"/>
          </w:tcPr>
          <w:p>
            <w:pPr>
              <w:ind w:left="420"/>
              <w:spacing w:after="0" w:line="176" w:lineRule="exact"/>
              <w:rPr>
                <w:sz w:val="20"/>
                <w:szCs w:val="20"/>
                <w:color w:val="auto"/>
              </w:rPr>
            </w:pPr>
            <w:r>
              <w:rPr>
                <w:rFonts w:ascii="Arial" w:cs="Arial" w:eastAsia="Arial" w:hAnsi="Arial"/>
                <w:sz w:val="16"/>
                <w:szCs w:val="16"/>
                <w:b w:val="1"/>
                <w:bCs w:val="1"/>
                <w:color w:val="auto"/>
              </w:rPr>
              <w:t>Earnings</w:t>
            </w:r>
          </w:p>
        </w:tc>
        <w:tc>
          <w:tcPr>
            <w:tcW w:w="680" w:type="dxa"/>
            <w:vAlign w:val="bottom"/>
            <w:gridSpan w:val="2"/>
          </w:tcPr>
          <w:p>
            <w:pPr>
              <w:jc w:val="right"/>
              <w:ind w:right="204"/>
              <w:spacing w:after="0" w:line="176" w:lineRule="exact"/>
              <w:rPr>
                <w:sz w:val="20"/>
                <w:szCs w:val="20"/>
                <w:color w:val="auto"/>
              </w:rPr>
            </w:pPr>
            <w:r>
              <w:rPr>
                <w:rFonts w:ascii="Arial" w:cs="Arial" w:eastAsia="Arial" w:hAnsi="Arial"/>
                <w:sz w:val="16"/>
                <w:szCs w:val="16"/>
                <w:b w:val="1"/>
                <w:bCs w:val="1"/>
                <w:color w:val="auto"/>
              </w:rPr>
              <w:t>$</w:t>
            </w:r>
          </w:p>
        </w:tc>
        <w:tc>
          <w:tcPr>
            <w:tcW w:w="2080" w:type="dxa"/>
            <w:vAlign w:val="bottom"/>
            <w:gridSpan w:val="2"/>
          </w:tcPr>
          <w:p>
            <w:pPr>
              <w:jc w:val="right"/>
              <w:ind w:right="300"/>
              <w:spacing w:after="0" w:line="176" w:lineRule="exact"/>
              <w:rPr>
                <w:sz w:val="20"/>
                <w:szCs w:val="20"/>
                <w:color w:val="auto"/>
              </w:rPr>
            </w:pPr>
            <w:r>
              <w:rPr>
                <w:rFonts w:ascii="Arial" w:cs="Arial" w:eastAsia="Arial" w:hAnsi="Arial"/>
                <w:sz w:val="16"/>
                <w:szCs w:val="16"/>
                <w:b w:val="1"/>
                <w:bCs w:val="1"/>
                <w:color w:val="auto"/>
              </w:rPr>
              <w:t>268,550</w:t>
            </w:r>
          </w:p>
        </w:tc>
        <w:tc>
          <w:tcPr>
            <w:tcW w:w="184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15,671</w:t>
            </w:r>
          </w:p>
        </w:tc>
        <w:tc>
          <w:tcPr>
            <w:tcW w:w="2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20"/>
              <w:spacing w:after="0" w:line="155" w:lineRule="exact"/>
              <w:rPr>
                <w:sz w:val="20"/>
                <w:szCs w:val="20"/>
                <w:color w:val="auto"/>
              </w:rPr>
            </w:pPr>
            <w:r>
              <w:rPr>
                <w:rFonts w:ascii="Arial" w:cs="Arial" w:eastAsia="Arial" w:hAnsi="Arial"/>
                <w:sz w:val="16"/>
                <w:szCs w:val="16"/>
                <w:b w:val="1"/>
                <w:bCs w:val="1"/>
                <w:color w:val="auto"/>
              </w:rPr>
              <w:t>Dilutive stock options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vMerge w:val="restart"/>
          </w:tcPr>
          <w:p>
            <w:pPr>
              <w:jc w:val="right"/>
              <w:ind w:right="300"/>
              <w:spacing w:after="0" w:line="155" w:lineRule="exact"/>
              <w:rPr>
                <w:sz w:val="20"/>
                <w:szCs w:val="20"/>
                <w:color w:val="auto"/>
              </w:rPr>
            </w:pPr>
            <w:r>
              <w:rPr>
                <w:rFonts w:ascii="Arial" w:cs="Arial" w:eastAsia="Arial" w:hAnsi="Arial"/>
                <w:sz w:val="16"/>
                <w:szCs w:val="16"/>
                <w:b w:val="1"/>
                <w:bCs w:val="1"/>
                <w:color w:val="auto"/>
              </w:rPr>
              <w:t>-</w:t>
            </w:r>
          </w:p>
        </w:tc>
        <w:tc>
          <w:tcPr>
            <w:tcW w:w="1840" w:type="dxa"/>
            <w:vAlign w:val="bottom"/>
            <w:gridSpan w:val="2"/>
            <w:vMerge w:val="restart"/>
          </w:tcPr>
          <w:p>
            <w:pPr>
              <w:jc w:val="right"/>
              <w:spacing w:after="0" w:line="155" w:lineRule="exact"/>
              <w:rPr>
                <w:sz w:val="20"/>
                <w:szCs w:val="20"/>
                <w:color w:val="auto"/>
              </w:rPr>
            </w:pPr>
            <w:r>
              <w:rPr>
                <w:rFonts w:ascii="Arial" w:cs="Arial" w:eastAsia="Arial" w:hAnsi="Arial"/>
                <w:sz w:val="16"/>
                <w:szCs w:val="16"/>
                <w:b w:val="1"/>
                <w:bCs w:val="1"/>
                <w:color w:val="auto"/>
              </w:rPr>
              <w:t>221</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420"/>
              <w:spacing w:after="0"/>
              <w:rPr>
                <w:sz w:val="20"/>
                <w:szCs w:val="20"/>
                <w:color w:val="auto"/>
              </w:rPr>
            </w:pPr>
            <w:r>
              <w:rPr>
                <w:rFonts w:ascii="Arial" w:cs="Arial" w:eastAsia="Arial" w:hAnsi="Arial"/>
                <w:sz w:val="16"/>
                <w:szCs w:val="16"/>
                <w:b w:val="1"/>
                <w:bCs w:val="1"/>
                <w:color w:val="auto"/>
              </w:rPr>
              <w:t>Nonvested stock awards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46</w:t>
            </w:r>
          </w:p>
        </w:tc>
        <w:tc>
          <w:tcPr>
            <w:tcW w:w="280" w:type="dxa"/>
            <w:vAlign w:val="bottom"/>
          </w:tcPr>
          <w:p>
            <w:pPr>
              <w:spacing w:after="0"/>
              <w:rPr>
                <w:sz w:val="16"/>
                <w:szCs w:val="16"/>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9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16.85</w:t>
            </w:r>
          </w:p>
        </w:tc>
        <w:tc>
          <w:tcPr>
            <w:tcW w:w="0" w:type="dxa"/>
            <w:vAlign w:val="bottom"/>
          </w:tcPr>
          <w:p>
            <w:pPr>
              <w:spacing w:after="0"/>
              <w:rPr>
                <w:sz w:val="1"/>
                <w:szCs w:val="1"/>
                <w:color w:val="auto"/>
              </w:rPr>
            </w:pPr>
          </w:p>
        </w:tc>
      </w:tr>
      <w:tr>
        <w:trPr>
          <w:trHeight w:val="155"/>
        </w:trPr>
        <w:tc>
          <w:tcPr>
            <w:tcW w:w="4220" w:type="dxa"/>
            <w:vAlign w:val="bottom"/>
          </w:tcPr>
          <w:p>
            <w:pPr>
              <w:ind w:left="620"/>
              <w:spacing w:after="0" w:line="155" w:lineRule="exact"/>
              <w:rPr>
                <w:sz w:val="20"/>
                <w:szCs w:val="20"/>
                <w:color w:val="auto"/>
              </w:rPr>
            </w:pPr>
            <w:r>
              <w:rPr>
                <w:rFonts w:ascii="Arial" w:cs="Arial" w:eastAsia="Arial" w:hAnsi="Arial"/>
                <w:sz w:val="16"/>
                <w:szCs w:val="16"/>
                <w:b w:val="1"/>
                <w:bCs w:val="1"/>
                <w:color w:val="auto"/>
              </w:rPr>
              <w:t>Diluted earnings</w:t>
            </w:r>
          </w:p>
        </w:tc>
        <w:tc>
          <w:tcPr>
            <w:tcW w:w="320" w:type="dxa"/>
            <w:vAlign w:val="bottom"/>
          </w:tcPr>
          <w:p>
            <w:pPr>
              <w:spacing w:after="0"/>
              <w:rPr>
                <w:sz w:val="13"/>
                <w:szCs w:val="13"/>
                <w:color w:val="auto"/>
              </w:rPr>
            </w:pPr>
          </w:p>
        </w:tc>
        <w:tc>
          <w:tcPr>
            <w:tcW w:w="360" w:type="dxa"/>
            <w:vAlign w:val="bottom"/>
            <w:tcBorders>
              <w:top w:val="single" w:sz="8" w:color="auto"/>
            </w:tcBorders>
          </w:tcPr>
          <w:p>
            <w:pPr>
              <w:jc w:val="right"/>
              <w:ind w:right="204"/>
              <w:spacing w:after="0" w:line="156" w:lineRule="exact"/>
              <w:rPr>
                <w:sz w:val="20"/>
                <w:szCs w:val="20"/>
                <w:color w:val="auto"/>
              </w:rPr>
            </w:pPr>
            <w:r>
              <w:rPr>
                <w:rFonts w:ascii="Arial" w:cs="Arial" w:eastAsia="Arial" w:hAnsi="Arial"/>
                <w:sz w:val="15"/>
                <w:szCs w:val="15"/>
                <w:b w:val="1"/>
                <w:bCs w:val="1"/>
                <w:color w:val="auto"/>
                <w:w w:val="71"/>
              </w:rPr>
              <w:t>$</w:t>
            </w:r>
          </w:p>
        </w:tc>
        <w:tc>
          <w:tcPr>
            <w:tcW w:w="1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268,550</w:t>
            </w:r>
          </w:p>
        </w:tc>
        <w:tc>
          <w:tcPr>
            <w:tcW w:w="300" w:type="dxa"/>
            <w:vAlign w:val="bottom"/>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rPr>
              <w:t>15,938</w:t>
            </w: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80"/>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172"/>
        </w:trPr>
        <w:tc>
          <w:tcPr>
            <w:tcW w:w="4220" w:type="dxa"/>
            <w:vAlign w:val="bottom"/>
          </w:tcPr>
          <w:p>
            <w:pPr>
              <w:ind w:left="420"/>
              <w:spacing w:after="0" w:line="172" w:lineRule="exact"/>
              <w:rPr>
                <w:sz w:val="20"/>
                <w:szCs w:val="20"/>
                <w:color w:val="auto"/>
              </w:rPr>
            </w:pPr>
            <w:r>
              <w:rPr>
                <w:rFonts w:ascii="Arial" w:cs="Arial" w:eastAsia="Arial" w:hAnsi="Arial"/>
                <w:sz w:val="16"/>
                <w:szCs w:val="16"/>
                <w:color w:val="auto"/>
              </w:rPr>
              <w:t>Earnings</w:t>
            </w:r>
          </w:p>
        </w:tc>
        <w:tc>
          <w:tcPr>
            <w:tcW w:w="680" w:type="dxa"/>
            <w:vAlign w:val="bottom"/>
            <w:gridSpan w:val="2"/>
          </w:tcPr>
          <w:p>
            <w:pPr>
              <w:jc w:val="right"/>
              <w:ind w:right="204"/>
              <w:spacing w:after="0" w:line="172" w:lineRule="exact"/>
              <w:rPr>
                <w:sz w:val="20"/>
                <w:szCs w:val="20"/>
                <w:color w:val="auto"/>
              </w:rPr>
            </w:pPr>
            <w:r>
              <w:rPr>
                <w:rFonts w:ascii="Arial" w:cs="Arial" w:eastAsia="Arial" w:hAnsi="Arial"/>
                <w:sz w:val="16"/>
                <w:szCs w:val="16"/>
                <w:color w:val="auto"/>
              </w:rPr>
              <w:t>$</w:t>
            </w:r>
          </w:p>
        </w:tc>
        <w:tc>
          <w:tcPr>
            <w:tcW w:w="2080" w:type="dxa"/>
            <w:vAlign w:val="bottom"/>
            <w:gridSpan w:val="2"/>
          </w:tcPr>
          <w:p>
            <w:pPr>
              <w:jc w:val="right"/>
              <w:ind w:right="300"/>
              <w:spacing w:after="0" w:line="172" w:lineRule="exact"/>
              <w:rPr>
                <w:sz w:val="20"/>
                <w:szCs w:val="20"/>
                <w:color w:val="auto"/>
              </w:rPr>
            </w:pPr>
            <w:r>
              <w:rPr>
                <w:rFonts w:ascii="Arial" w:cs="Arial" w:eastAsia="Arial" w:hAnsi="Arial"/>
                <w:sz w:val="16"/>
                <w:szCs w:val="16"/>
                <w:color w:val="auto"/>
              </w:rPr>
              <w:t>319,466</w:t>
            </w:r>
          </w:p>
        </w:tc>
        <w:tc>
          <w:tcPr>
            <w:tcW w:w="184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15,955</w:t>
            </w: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20"/>
              <w:spacing w:after="0" w:line="159" w:lineRule="exact"/>
              <w:rPr>
                <w:sz w:val="20"/>
                <w:szCs w:val="20"/>
                <w:color w:val="auto"/>
              </w:rPr>
            </w:pPr>
            <w:r>
              <w:rPr>
                <w:rFonts w:ascii="Arial" w:cs="Arial" w:eastAsia="Arial" w:hAnsi="Arial"/>
                <w:sz w:val="16"/>
                <w:szCs w:val="16"/>
                <w:color w:val="auto"/>
              </w:rPr>
              <w:t>Dilutive stock options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vMerge w:val="restart"/>
          </w:tcPr>
          <w:p>
            <w:pPr>
              <w:jc w:val="right"/>
              <w:ind w:right="300"/>
              <w:spacing w:after="0" w:line="159" w:lineRule="exact"/>
              <w:rPr>
                <w:sz w:val="20"/>
                <w:szCs w:val="20"/>
                <w:color w:val="auto"/>
              </w:rPr>
            </w:pPr>
            <w:r>
              <w:rPr>
                <w:rFonts w:ascii="Arial" w:cs="Arial" w:eastAsia="Arial" w:hAnsi="Arial"/>
                <w:sz w:val="16"/>
                <w:szCs w:val="16"/>
                <w:color w:val="auto"/>
              </w:rPr>
              <w:t>-</w:t>
            </w:r>
          </w:p>
        </w:tc>
        <w:tc>
          <w:tcPr>
            <w:tcW w:w="1840" w:type="dxa"/>
            <w:vAlign w:val="bottom"/>
            <w:gridSpan w:val="2"/>
            <w:vMerge w:val="restart"/>
          </w:tcPr>
          <w:p>
            <w:pPr>
              <w:jc w:val="right"/>
              <w:spacing w:after="0" w:line="159" w:lineRule="exact"/>
              <w:rPr>
                <w:sz w:val="20"/>
                <w:szCs w:val="20"/>
                <w:color w:val="auto"/>
              </w:rPr>
            </w:pPr>
            <w:r>
              <w:rPr>
                <w:rFonts w:ascii="Arial" w:cs="Arial" w:eastAsia="Arial" w:hAnsi="Arial"/>
                <w:sz w:val="16"/>
                <w:szCs w:val="16"/>
                <w:color w:val="auto"/>
              </w:rPr>
              <w:t>368</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420"/>
              <w:spacing w:after="0"/>
              <w:rPr>
                <w:sz w:val="20"/>
                <w:szCs w:val="20"/>
                <w:color w:val="auto"/>
              </w:rPr>
            </w:pPr>
            <w:r>
              <w:rPr>
                <w:rFonts w:ascii="Arial" w:cs="Arial" w:eastAsia="Arial" w:hAnsi="Arial"/>
                <w:sz w:val="16"/>
                <w:szCs w:val="16"/>
                <w:color w:val="auto"/>
              </w:rPr>
              <w:t>Nonvested stock awards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6"/>
                <w:szCs w:val="16"/>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155"/>
        </w:trPr>
        <w:tc>
          <w:tcPr>
            <w:tcW w:w="4220" w:type="dxa"/>
            <w:vAlign w:val="bottom"/>
          </w:tcPr>
          <w:p>
            <w:pPr>
              <w:ind w:left="620"/>
              <w:spacing w:after="0" w:line="155" w:lineRule="exact"/>
              <w:rPr>
                <w:sz w:val="20"/>
                <w:szCs w:val="20"/>
                <w:color w:val="auto"/>
              </w:rPr>
            </w:pPr>
            <w:r>
              <w:rPr>
                <w:rFonts w:ascii="Arial" w:cs="Arial" w:eastAsia="Arial" w:hAnsi="Arial"/>
                <w:sz w:val="16"/>
                <w:szCs w:val="16"/>
                <w:color w:val="auto"/>
              </w:rPr>
              <w:t>Diluted earnings</w:t>
            </w:r>
          </w:p>
        </w:tc>
        <w:tc>
          <w:tcPr>
            <w:tcW w:w="320" w:type="dxa"/>
            <w:vAlign w:val="bottom"/>
          </w:tcPr>
          <w:p>
            <w:pPr>
              <w:spacing w:after="0"/>
              <w:rPr>
                <w:sz w:val="13"/>
                <w:szCs w:val="13"/>
                <w:color w:val="auto"/>
              </w:rPr>
            </w:pPr>
          </w:p>
        </w:tc>
        <w:tc>
          <w:tcPr>
            <w:tcW w:w="360" w:type="dxa"/>
            <w:vAlign w:val="bottom"/>
            <w:tcBorders>
              <w:top w:val="single" w:sz="8" w:color="auto"/>
            </w:tcBorders>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319,466</w:t>
            </w:r>
          </w:p>
        </w:tc>
        <w:tc>
          <w:tcPr>
            <w:tcW w:w="300" w:type="dxa"/>
            <w:vAlign w:val="bottom"/>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16,398</w:t>
            </w: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80"/>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172"/>
        </w:trPr>
        <w:tc>
          <w:tcPr>
            <w:tcW w:w="4220" w:type="dxa"/>
            <w:vAlign w:val="bottom"/>
          </w:tcPr>
          <w:p>
            <w:pPr>
              <w:ind w:left="420"/>
              <w:spacing w:after="0" w:line="172" w:lineRule="exact"/>
              <w:rPr>
                <w:sz w:val="20"/>
                <w:szCs w:val="20"/>
                <w:color w:val="auto"/>
              </w:rPr>
            </w:pPr>
            <w:r>
              <w:rPr>
                <w:rFonts w:ascii="Arial" w:cs="Arial" w:eastAsia="Arial" w:hAnsi="Arial"/>
                <w:sz w:val="16"/>
                <w:szCs w:val="16"/>
                <w:color w:val="auto"/>
              </w:rPr>
              <w:t>Earnings</w:t>
            </w:r>
          </w:p>
        </w:tc>
        <w:tc>
          <w:tcPr>
            <w:tcW w:w="680" w:type="dxa"/>
            <w:vAlign w:val="bottom"/>
            <w:gridSpan w:val="2"/>
          </w:tcPr>
          <w:p>
            <w:pPr>
              <w:jc w:val="right"/>
              <w:ind w:right="204"/>
              <w:spacing w:after="0" w:line="172" w:lineRule="exact"/>
              <w:rPr>
                <w:sz w:val="20"/>
                <w:szCs w:val="20"/>
                <w:color w:val="auto"/>
              </w:rPr>
            </w:pPr>
            <w:r>
              <w:rPr>
                <w:rFonts w:ascii="Arial" w:cs="Arial" w:eastAsia="Arial" w:hAnsi="Arial"/>
                <w:sz w:val="16"/>
                <w:szCs w:val="16"/>
                <w:color w:val="auto"/>
              </w:rPr>
              <w:t>$</w:t>
            </w:r>
          </w:p>
        </w:tc>
        <w:tc>
          <w:tcPr>
            <w:tcW w:w="2080" w:type="dxa"/>
            <w:vAlign w:val="bottom"/>
            <w:gridSpan w:val="2"/>
          </w:tcPr>
          <w:p>
            <w:pPr>
              <w:jc w:val="right"/>
              <w:ind w:right="300"/>
              <w:spacing w:after="0" w:line="172" w:lineRule="exact"/>
              <w:rPr>
                <w:sz w:val="20"/>
                <w:szCs w:val="20"/>
                <w:color w:val="auto"/>
              </w:rPr>
            </w:pPr>
            <w:r>
              <w:rPr>
                <w:rFonts w:ascii="Arial" w:cs="Arial" w:eastAsia="Arial" w:hAnsi="Arial"/>
                <w:sz w:val="16"/>
                <w:szCs w:val="16"/>
                <w:color w:val="auto"/>
              </w:rPr>
              <w:t>219,923</w:t>
            </w:r>
          </w:p>
        </w:tc>
        <w:tc>
          <w:tcPr>
            <w:tcW w:w="184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15,969</w:t>
            </w: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20"/>
              <w:spacing w:after="0" w:line="159" w:lineRule="exact"/>
              <w:rPr>
                <w:sz w:val="20"/>
                <w:szCs w:val="20"/>
                <w:color w:val="auto"/>
              </w:rPr>
            </w:pPr>
            <w:r>
              <w:rPr>
                <w:rFonts w:ascii="Arial" w:cs="Arial" w:eastAsia="Arial" w:hAnsi="Arial"/>
                <w:sz w:val="16"/>
                <w:szCs w:val="16"/>
                <w:color w:val="auto"/>
              </w:rPr>
              <w:t>Dilutive stock options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vMerge w:val="restart"/>
          </w:tcPr>
          <w:p>
            <w:pPr>
              <w:jc w:val="right"/>
              <w:ind w:right="300"/>
              <w:spacing w:after="0" w:line="159" w:lineRule="exact"/>
              <w:rPr>
                <w:sz w:val="20"/>
                <w:szCs w:val="20"/>
                <w:color w:val="auto"/>
              </w:rPr>
            </w:pPr>
            <w:r>
              <w:rPr>
                <w:rFonts w:ascii="Arial" w:cs="Arial" w:eastAsia="Arial" w:hAnsi="Arial"/>
                <w:sz w:val="16"/>
                <w:szCs w:val="16"/>
                <w:color w:val="auto"/>
              </w:rPr>
              <w:t>-</w:t>
            </w:r>
          </w:p>
        </w:tc>
        <w:tc>
          <w:tcPr>
            <w:tcW w:w="1840" w:type="dxa"/>
            <w:vAlign w:val="bottom"/>
            <w:gridSpan w:val="2"/>
            <w:vMerge w:val="restart"/>
          </w:tcPr>
          <w:p>
            <w:pPr>
              <w:jc w:val="right"/>
              <w:spacing w:after="0" w:line="159" w:lineRule="exact"/>
              <w:rPr>
                <w:sz w:val="20"/>
                <w:szCs w:val="20"/>
                <w:color w:val="auto"/>
              </w:rPr>
            </w:pPr>
            <w:r>
              <w:rPr>
                <w:rFonts w:ascii="Arial" w:cs="Arial" w:eastAsia="Arial" w:hAnsi="Arial"/>
                <w:sz w:val="16"/>
                <w:szCs w:val="16"/>
                <w:color w:val="auto"/>
              </w:rPr>
              <w:t>480</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420"/>
              <w:spacing w:after="0"/>
              <w:rPr>
                <w:sz w:val="20"/>
                <w:szCs w:val="20"/>
                <w:color w:val="auto"/>
              </w:rPr>
            </w:pPr>
            <w:r>
              <w:rPr>
                <w:rFonts w:ascii="Arial" w:cs="Arial" w:eastAsia="Arial" w:hAnsi="Arial"/>
                <w:sz w:val="16"/>
                <w:szCs w:val="16"/>
                <w:color w:val="auto"/>
              </w:rPr>
              <w:t>Nonvested stock awards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6"/>
                <w:szCs w:val="16"/>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9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155"/>
        </w:trPr>
        <w:tc>
          <w:tcPr>
            <w:tcW w:w="4220" w:type="dxa"/>
            <w:vAlign w:val="bottom"/>
          </w:tcPr>
          <w:p>
            <w:pPr>
              <w:ind w:left="620"/>
              <w:spacing w:after="0" w:line="155" w:lineRule="exact"/>
              <w:rPr>
                <w:sz w:val="20"/>
                <w:szCs w:val="20"/>
                <w:color w:val="auto"/>
              </w:rPr>
            </w:pPr>
            <w:r>
              <w:rPr>
                <w:rFonts w:ascii="Arial" w:cs="Arial" w:eastAsia="Arial" w:hAnsi="Arial"/>
                <w:sz w:val="16"/>
                <w:szCs w:val="16"/>
                <w:color w:val="auto"/>
              </w:rPr>
              <w:t>Diluted earnings</w:t>
            </w:r>
          </w:p>
        </w:tc>
        <w:tc>
          <w:tcPr>
            <w:tcW w:w="320" w:type="dxa"/>
            <w:vAlign w:val="bottom"/>
          </w:tcPr>
          <w:p>
            <w:pPr>
              <w:spacing w:after="0"/>
              <w:rPr>
                <w:sz w:val="13"/>
                <w:szCs w:val="13"/>
                <w:color w:val="auto"/>
              </w:rPr>
            </w:pPr>
          </w:p>
        </w:tc>
        <w:tc>
          <w:tcPr>
            <w:tcW w:w="360" w:type="dxa"/>
            <w:vAlign w:val="bottom"/>
            <w:tcBorders>
              <w:top w:val="single" w:sz="8" w:color="auto"/>
            </w:tcBorders>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219,923</w:t>
            </w:r>
          </w:p>
        </w:tc>
        <w:tc>
          <w:tcPr>
            <w:tcW w:w="300" w:type="dxa"/>
            <w:vAlign w:val="bottom"/>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16,527</w:t>
            </w: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2021, 617,000 stock options were excluded from the computation of diluted earnings per share as their exercise prices were greater than the average market price during most of the year. During 2020, 566,000 stock options were also excluded. During 2019, 287,000 stock options were also excluded.</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Financial Instruments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FASB’s authoritative guidance on fair value measurements defines a hierarchy which prioritizes the inputs in fair value measurements. Level 1 measurements are measurements using quoted prices in active markets for identical assets or liabilities. Level 2 measurements use significant other observable inputs. Level 3 measurements are measurements using significant unobservable inputs which require a company to develop its own assumptions. In recording the fair value of assets and liabilities, companies must use the most reliable measurement available.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18"/>
          <w:szCs w:val="18"/>
          <w:color w:val="auto"/>
        </w:rPr>
        <w:t>The following shows the carrying value, fair value and the hierarchy for our financial instruments as of December 31, 2021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color w:val="auto"/>
                <w:w w:val="90"/>
              </w:rPr>
              <w:t>Fair Value Measure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7"/>
        </w:trPr>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Quoted Prices in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vMerge w:val="restart"/>
          </w:tcPr>
          <w:p>
            <w:pPr>
              <w:jc w:val="center"/>
              <w:ind w:right="380"/>
              <w:spacing w:after="0"/>
              <w:rPr>
                <w:sz w:val="20"/>
                <w:szCs w:val="20"/>
                <w:color w:val="auto"/>
              </w:rPr>
            </w:pPr>
            <w:r>
              <w:rPr>
                <w:rFonts w:ascii="Arial" w:cs="Arial" w:eastAsia="Arial" w:hAnsi="Arial"/>
                <w:sz w:val="16"/>
                <w:szCs w:val="16"/>
                <w:color w:val="auto"/>
                <w:w w:val="94"/>
              </w:rPr>
              <w:t>Significant Other</w:t>
            </w: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Significant</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6"/>
              </w:rPr>
              <w:t>Active Markets for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Carrying Value</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2"/>
              </w:rPr>
              <w:t>Identical Assets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360"/>
              <w:spacing w:after="0" w:line="162" w:lineRule="exact"/>
              <w:rPr>
                <w:sz w:val="20"/>
                <w:szCs w:val="20"/>
                <w:color w:val="auto"/>
              </w:rPr>
            </w:pPr>
            <w:r>
              <w:rPr>
                <w:rFonts w:ascii="Arial" w:cs="Arial" w:eastAsia="Arial" w:hAnsi="Arial"/>
                <w:sz w:val="16"/>
                <w:szCs w:val="16"/>
                <w:color w:val="auto"/>
                <w:w w:val="90"/>
              </w:rPr>
              <w:t>Observable Inputs</w:t>
            </w:r>
          </w:p>
        </w:tc>
        <w:tc>
          <w:tcPr>
            <w:tcW w:w="128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Unobservable</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(Level 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Inputs (Level 3)</w:t>
            </w:r>
          </w:p>
        </w:tc>
        <w:tc>
          <w:tcPr>
            <w:tcW w:w="0" w:type="dxa"/>
            <w:vAlign w:val="bottom"/>
          </w:tcPr>
          <w:p>
            <w:pPr>
              <w:spacing w:after="0"/>
              <w:rPr>
                <w:sz w:val="1"/>
                <w:szCs w:val="1"/>
                <w:color w:val="auto"/>
              </w:rPr>
            </w:pPr>
          </w:p>
        </w:tc>
      </w:tr>
      <w:tr>
        <w:trPr>
          <w:trHeight w:val="452"/>
        </w:trPr>
        <w:tc>
          <w:tcPr>
            <w:tcW w:w="4260" w:type="dxa"/>
            <w:vAlign w:val="bottom"/>
          </w:tcPr>
          <w:p>
            <w:pPr>
              <w:spacing w:after="0"/>
              <w:rPr>
                <w:sz w:val="20"/>
                <w:szCs w:val="20"/>
                <w:color w:val="auto"/>
              </w:rPr>
            </w:pPr>
            <w:r>
              <w:rPr>
                <w:rFonts w:ascii="Arial" w:cs="Arial" w:eastAsia="Arial" w:hAnsi="Arial"/>
                <w:sz w:val="16"/>
                <w:szCs w:val="16"/>
                <w:color w:val="auto"/>
              </w:rPr>
              <w:t>Investments of deferred compensation plans held in trust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98,884</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98,884</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shows the carrying value, fair value and the hierarchy for our financial instruments as of December 31, 2020 (in thousands):</w:t>
      </w:r>
    </w:p>
    <w:p>
      <w:pPr>
        <w:spacing w:after="0" w:line="270"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Fair Value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635</wp:posOffset>
            </wp:positionV>
            <wp:extent cx="29146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vMerge w:val="restart"/>
          </w:tcPr>
          <w:p>
            <w:pPr>
              <w:jc w:val="center"/>
              <w:ind w:right="380"/>
              <w:spacing w:after="0"/>
              <w:rPr>
                <w:sz w:val="20"/>
                <w:szCs w:val="20"/>
                <w:color w:val="auto"/>
              </w:rPr>
            </w:pPr>
            <w:r>
              <w:rPr>
                <w:rFonts w:ascii="Arial" w:cs="Arial" w:eastAsia="Arial" w:hAnsi="Arial"/>
                <w:sz w:val="16"/>
                <w:szCs w:val="16"/>
                <w:color w:val="auto"/>
                <w:w w:val="94"/>
              </w:rPr>
              <w:t>Significant Other</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4"/>
              </w:rPr>
              <w:t>Significant</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color w:val="auto"/>
                <w:w w:val="96"/>
              </w:rPr>
              <w:t>Active Markets for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Carrying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color w:val="auto"/>
                <w:w w:val="92"/>
              </w:rPr>
              <w:t>Identical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360"/>
              <w:spacing w:after="0" w:line="162" w:lineRule="exact"/>
              <w:rPr>
                <w:sz w:val="20"/>
                <w:szCs w:val="20"/>
                <w:color w:val="auto"/>
              </w:rPr>
            </w:pPr>
            <w:r>
              <w:rPr>
                <w:rFonts w:ascii="Arial" w:cs="Arial" w:eastAsia="Arial" w:hAnsi="Arial"/>
                <w:sz w:val="16"/>
                <w:szCs w:val="16"/>
                <w:color w:val="auto"/>
                <w:w w:val="90"/>
              </w:rPr>
              <w:t>Observable Inputs</w:t>
            </w:r>
          </w:p>
        </w:tc>
        <w:tc>
          <w:tcPr>
            <w:tcW w:w="1280" w:type="dxa"/>
            <w:vAlign w:val="bottom"/>
          </w:tcPr>
          <w:p>
            <w:pPr>
              <w:jc w:val="center"/>
              <w:spacing w:after="0" w:line="162" w:lineRule="exact"/>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Inputs (Level 3)</w:t>
            </w:r>
          </w:p>
        </w:tc>
        <w:tc>
          <w:tcPr>
            <w:tcW w:w="0" w:type="dxa"/>
            <w:vAlign w:val="bottom"/>
          </w:tcPr>
          <w:p>
            <w:pPr>
              <w:spacing w:after="0"/>
              <w:rPr>
                <w:sz w:val="1"/>
                <w:szCs w:val="1"/>
                <w:color w:val="auto"/>
              </w:rPr>
            </w:pPr>
          </w:p>
        </w:tc>
      </w:tr>
      <w:tr>
        <w:trPr>
          <w:trHeight w:val="460"/>
        </w:trPr>
        <w:tc>
          <w:tcPr>
            <w:tcW w:w="4260" w:type="dxa"/>
            <w:vAlign w:val="bottom"/>
          </w:tcPr>
          <w:p>
            <w:pPr>
              <w:spacing w:after="0"/>
              <w:rPr>
                <w:sz w:val="20"/>
                <w:szCs w:val="20"/>
                <w:color w:val="auto"/>
              </w:rPr>
            </w:pPr>
            <w:r>
              <w:rPr>
                <w:rFonts w:ascii="Arial" w:cs="Arial" w:eastAsia="Arial" w:hAnsi="Arial"/>
                <w:sz w:val="16"/>
                <w:szCs w:val="16"/>
                <w:color w:val="auto"/>
              </w:rPr>
              <w:t>Investments of deferred compensation plans held in trust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88,811</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88,811</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For cash and cash equivalents, accounts receivable and accounts payable, the carrying amount is a reasonable estimate of fair value because of the liquidity and short-term nature of these instruments. As further described in Note 3, our outstanding long-term debt and current portion of long-term debt have floating interest rates that are reset at short-term intervals, generally 30 or 60 days. The interest rate we pay also includes an additional amount based on our current leverage ratio. As such, we believe our borrowings reflect significant nonperformance risks, mainly credit risk. Based on these factors, we believe the fair value of our long-term debt and current portion of long-term debt approximate the carrying value.</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Legal and Regulatory Matters</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 xml:space="preserve">The VITAS segment of the Company’s business operates in a heavily-regulated industry. As a result, the Company is subjected to inquiries and investigations by various government agencies, which can result in penalties including repayment obligations, funding withholding, or debarment, as well as to lawsuits, including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The following sections describe the various ongoing material lawsuits and investigations of which the Company is currently aware. Other than as described below, it is not possible at this time for us to estimate either the timing or outcome of any of those matters, or whether any potential loss, or range of potential losses, is probable or reasonably estimable.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Matters and Litigation</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October 30, 2017, the Company entered into a settlement agreement to resolve civil litigation under the False Claims Act brought by the United States Department of Justice (“DOJ”) on behalf of the OIG and various relators concerning VITAS, filed in the U.S. District Court of the Western District of Missouri. The Company denied any violation of law and agreed to settlement without admission of wrongdoing.</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connection with the settlement, VITAS and certain of its subsidiaries entered into a corporate integrity agreement (“CIA”) on October 30, 2017. The CIA formalizes various aspects of VITAS’ already existing Compliance Program and contains requirements designed to document compliance with federal healthcare program requirements. It has a term of five years during which it imposes monitoring, reporting, certification, oversight, screening and training obligations, certain of which had previously been implemented by VITAS. It also requires VITAS to engage an Independent Review Organization to perform audit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both"/>
        <w:ind w:firstLine="648"/>
        <w:spacing w:after="0" w:line="255" w:lineRule="auto"/>
        <w:rPr>
          <w:sz w:val="20"/>
          <w:szCs w:val="20"/>
          <w:color w:val="auto"/>
        </w:rPr>
      </w:pPr>
      <w:r>
        <w:rPr>
          <w:rFonts w:ascii="Arial" w:cs="Arial" w:eastAsia="Arial" w:hAnsi="Arial"/>
          <w:sz w:val="16"/>
          <w:szCs w:val="16"/>
          <w:color w:val="auto"/>
        </w:rPr>
        <w:t xml:space="preserve">Alfred Lax (“Lax”), a former employee of Roto-Rooter Services Company (“RRSC”) filed a class action lawsuit in Santa Clara County Superior Court in November of 2018 alleging (1) failure to provide or compensate for required rest breaks; (2) failure to properly pay for all hours worked; (3) failure to provide accurate wage statements; (4) failure to reimburse for work-related expenses; and (5) unfair business practices. Lax stated these claims as a representative of a class defined as all service technicians employed by RRSC in California during the four years preceding the filing of the complaint. The lawsuit is, </w:t>
      </w:r>
      <w:r>
        <w:rPr>
          <w:rFonts w:ascii="Arial" w:cs="Arial" w:eastAsia="Arial" w:hAnsi="Arial"/>
          <w:sz w:val="16"/>
          <w:szCs w:val="16"/>
          <w:i w:val="1"/>
          <w:iCs w:val="1"/>
          <w:color w:val="auto"/>
        </w:rPr>
        <w:t>Alfred Lax on behalf of himself and all others similarly situated v. Roto-Rooter Services Company, and Does 1 through 50 inclusive;</w:t>
      </w:r>
      <w:r>
        <w:rPr>
          <w:rFonts w:ascii="Arial" w:cs="Arial" w:eastAsia="Arial" w:hAnsi="Arial"/>
          <w:sz w:val="16"/>
          <w:szCs w:val="16"/>
          <w:color w:val="auto"/>
        </w:rPr>
        <w:t xml:space="preserve"> Santa Clara County Superior Court Case Number 18CV338652. The Company entered into a settlement agreement in August 2020 to resolve the allegations, for a settlement amount of $2.6 million plus employment taxes. The settlement includes technicians in its Menlo Park and Bristol locations. The settlement was recorded in the third quarter of 2020. Final approval of the settlement was granted in the first quarter of 2021 and the settlement was paid.</w:t>
      </w:r>
    </w:p>
    <w:p>
      <w:pPr>
        <w:spacing w:after="0" w:line="13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October 16, 2020, VITAS received a Civil Investigative Demand (“CID”) issued by the U.S. Department of Justice pursuant to the False Claims Act concerning allegations of the submission of false claims for hospice services for which reimbursement was sought from federal healthcare programs, including Medicare. The CID has requested information regarding 32 patients from our Florida operations. We are cooperating with the U.S. Department of Justice with respect to this investigation. The Company cannot predict when the investigation will be resolved or the outcome of the investigation.</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VITAS is one of a group of hospice providers selected by the OIG’s Office of Audit Services (“OAS”) for inclusion in an audit of the provision of elevated level-of-care hospice services to a sample of patients. At the audit’s conclusion, we expect that the OAS will make certain recommendations to CMS, which will be published on the OIG website, and may include repayment of Medicare funds received for elevated care of certain patients in the sample as well as extrapolated amounts based upon the incidence of claims within the sample. These extrapolated amounts may appear material. Any claims pursued by CMS will proceed in accordance with the standard reconsideration and appeals process for claims that arise out of CMS audits. The Company cannot predict the eventual outcome, or reasonably estimate any potential loss, from any such claims at this time.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8 above relating to potential contingent environmental obligations.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Regardless of the outcome of any of the preceding matters, dealing with the various regulatory agencies and opposing parties can adversely affect us through defense costs, potential payments, withholding of governmental funding, diversion of management time, and related publicity. Although the Company intends to defend them vigorously, there can be no assurance that those suits will not have a material adverse effect on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18.  Capital Stock Transactions</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60" w:type="dxa"/>
            <w:vAlign w:val="bottom"/>
          </w:tcPr>
          <w:p>
            <w:pPr>
              <w:ind w:left="660"/>
              <w:spacing w:after="0"/>
              <w:rPr>
                <w:sz w:val="20"/>
                <w:szCs w:val="20"/>
                <w:color w:val="auto"/>
              </w:rPr>
            </w:pPr>
            <w:r>
              <w:rPr>
                <w:rFonts w:ascii="Arial" w:cs="Arial" w:eastAsia="Arial" w:hAnsi="Arial"/>
                <w:sz w:val="18"/>
                <w:szCs w:val="18"/>
                <w:color w:val="auto"/>
              </w:rPr>
              <w:t>We repurchased the following capital stock:</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60" w:type="dxa"/>
            <w:vAlign w:val="bottom"/>
            <w:vMerge w:val="restart"/>
          </w:tcPr>
          <w:p>
            <w:pPr>
              <w:spacing w:after="0"/>
              <w:rPr>
                <w:sz w:val="20"/>
                <w:szCs w:val="20"/>
                <w:color w:val="auto"/>
              </w:rPr>
            </w:pPr>
            <w:r>
              <w:rPr>
                <w:rFonts w:ascii="Arial" w:cs="Arial" w:eastAsia="Arial" w:hAnsi="Arial"/>
                <w:sz w:val="18"/>
                <w:szCs w:val="18"/>
                <w:color w:val="auto"/>
              </w:rPr>
              <w:t>Total cost of repurchased shares (in thousands):</w:t>
            </w:r>
          </w:p>
        </w:tc>
        <w:tc>
          <w:tcPr>
            <w:tcW w:w="1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line="182"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line="18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1"/>
        </w:trPr>
        <w:tc>
          <w:tcPr>
            <w:tcW w:w="50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jc w:val="right"/>
              <w:ind w:right="227"/>
              <w:spacing w:after="0" w:line="151"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576,483</w:t>
            </w:r>
          </w:p>
        </w:tc>
        <w:tc>
          <w:tcPr>
            <w:tcW w:w="200" w:type="dxa"/>
            <w:vAlign w:val="bottom"/>
          </w:tcPr>
          <w:p>
            <w:pPr>
              <w:spacing w:after="0"/>
              <w:rPr>
                <w:sz w:val="13"/>
                <w:szCs w:val="13"/>
                <w:color w:val="auto"/>
              </w:rPr>
            </w:pPr>
          </w:p>
        </w:tc>
        <w:tc>
          <w:tcPr>
            <w:tcW w:w="380" w:type="dxa"/>
            <w:vAlign w:val="bottom"/>
          </w:tcPr>
          <w:p>
            <w:pPr>
              <w:jc w:val="right"/>
              <w:ind w:right="227"/>
              <w:spacing w:after="0" w:line="151"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50" w:lineRule="exact"/>
              <w:rPr>
                <w:sz w:val="20"/>
                <w:szCs w:val="20"/>
                <w:color w:val="auto"/>
              </w:rPr>
            </w:pPr>
            <w:r>
              <w:rPr>
                <w:rFonts w:ascii="Arial" w:cs="Arial" w:eastAsia="Arial" w:hAnsi="Arial"/>
                <w:sz w:val="17"/>
                <w:szCs w:val="17"/>
                <w:color w:val="auto"/>
              </w:rPr>
              <w:t>175,594</w:t>
            </w:r>
          </w:p>
        </w:tc>
        <w:tc>
          <w:tcPr>
            <w:tcW w:w="200" w:type="dxa"/>
            <w:vAlign w:val="bottom"/>
          </w:tcPr>
          <w:p>
            <w:pPr>
              <w:spacing w:after="0"/>
              <w:rPr>
                <w:sz w:val="13"/>
                <w:szCs w:val="13"/>
                <w:color w:val="auto"/>
              </w:rPr>
            </w:pPr>
          </w:p>
        </w:tc>
        <w:tc>
          <w:tcPr>
            <w:tcW w:w="540" w:type="dxa"/>
            <w:vAlign w:val="bottom"/>
          </w:tcPr>
          <w:p>
            <w:pPr>
              <w:jc w:val="right"/>
              <w:ind w:right="387"/>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50" w:lineRule="exact"/>
              <w:rPr>
                <w:sz w:val="20"/>
                <w:szCs w:val="20"/>
                <w:color w:val="auto"/>
              </w:rPr>
            </w:pPr>
            <w:r>
              <w:rPr>
                <w:rFonts w:ascii="Arial" w:cs="Arial" w:eastAsia="Arial" w:hAnsi="Arial"/>
                <w:sz w:val="17"/>
                <w:szCs w:val="17"/>
                <w:color w:val="auto"/>
              </w:rPr>
              <w:t>92,631</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8"/>
                <w:szCs w:val="18"/>
                <w:color w:val="auto"/>
              </w:rPr>
              <w:t>Shares repurchased</w:t>
            </w: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1,195,529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384,252</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269,009</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Arial" w:cs="Arial" w:eastAsia="Arial" w:hAnsi="Arial"/>
                <w:sz w:val="18"/>
                <w:szCs w:val="18"/>
                <w:color w:val="auto"/>
              </w:rPr>
              <w:t>Weighted average price per share</w:t>
            </w:r>
          </w:p>
        </w:tc>
        <w:tc>
          <w:tcPr>
            <w:tcW w:w="164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482.20</w:t>
            </w:r>
          </w:p>
        </w:tc>
        <w:tc>
          <w:tcPr>
            <w:tcW w:w="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456.98</w:t>
            </w:r>
          </w:p>
        </w:tc>
        <w:tc>
          <w:tcPr>
            <w:tcW w:w="7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344.34</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May and November 2021, the Board of Directors authorized a total of $600.0 million for additional stock repurchase under the February 2011 repurchase program. We currently have $201.9 million of authorization remaining under this share purchase plan.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19.  Other Operating Expenses/(Income)</w:t>
            </w: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60" w:type="dxa"/>
            <w:vAlign w:val="bottom"/>
            <w:vMerge w:val="restart"/>
          </w:tcPr>
          <w:p>
            <w:pPr>
              <w:spacing w:after="0"/>
              <w:rPr>
                <w:sz w:val="20"/>
                <w:szCs w:val="20"/>
                <w:color w:val="auto"/>
              </w:rPr>
            </w:pPr>
            <w:r>
              <w:rPr>
                <w:rFonts w:ascii="Arial" w:cs="Arial" w:eastAsia="Arial" w:hAnsi="Arial"/>
                <w:sz w:val="18"/>
                <w:szCs w:val="18"/>
                <w:color w:val="auto"/>
              </w:rPr>
              <w:t>Loss on disposal of property and equipment</w:t>
            </w:r>
          </w:p>
        </w:tc>
        <w:tc>
          <w:tcPr>
            <w:tcW w:w="1560" w:type="dxa"/>
            <w:vAlign w:val="bottom"/>
          </w:tcPr>
          <w:p>
            <w:pPr>
              <w:spacing w:after="0"/>
              <w:rPr>
                <w:sz w:val="15"/>
                <w:szCs w:val="15"/>
                <w:color w:val="auto"/>
              </w:rPr>
            </w:pPr>
          </w:p>
        </w:tc>
        <w:tc>
          <w:tcPr>
            <w:tcW w:w="1120" w:type="dxa"/>
            <w:vAlign w:val="bottom"/>
            <w:tcBorders>
              <w:bottom w:val="single" w:sz="8" w:color="auto"/>
            </w:tcBorders>
          </w:tcPr>
          <w:p>
            <w:pPr>
              <w:jc w:val="right"/>
              <w:ind w:right="21"/>
              <w:spacing w:after="0" w:line="182"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1"/>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1"/>
              <w:spacing w:after="0" w:line="18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1"/>
        </w:trPr>
        <w:tc>
          <w:tcPr>
            <w:tcW w:w="476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jc w:val="right"/>
              <w:ind w:right="961"/>
              <w:spacing w:after="0" w:line="151" w:lineRule="exact"/>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987</w:t>
            </w:r>
          </w:p>
        </w:tc>
        <w:tc>
          <w:tcPr>
            <w:tcW w:w="200" w:type="dxa"/>
            <w:vAlign w:val="bottom"/>
          </w:tcPr>
          <w:p>
            <w:pPr>
              <w:spacing w:after="0"/>
              <w:rPr>
                <w:sz w:val="13"/>
                <w:szCs w:val="13"/>
                <w:color w:val="auto"/>
              </w:rPr>
            </w:pPr>
          </w:p>
        </w:tc>
        <w:tc>
          <w:tcPr>
            <w:tcW w:w="220" w:type="dxa"/>
            <w:vAlign w:val="bottom"/>
          </w:tcPr>
          <w:p>
            <w:pPr>
              <w:jc w:val="right"/>
              <w:ind w:right="67"/>
              <w:spacing w:after="0" w:line="151"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50" w:lineRule="exact"/>
              <w:rPr>
                <w:sz w:val="20"/>
                <w:szCs w:val="20"/>
                <w:color w:val="auto"/>
              </w:rPr>
            </w:pPr>
            <w:r>
              <w:rPr>
                <w:rFonts w:ascii="Arial" w:cs="Arial" w:eastAsia="Arial" w:hAnsi="Arial"/>
                <w:sz w:val="17"/>
                <w:szCs w:val="17"/>
                <w:color w:val="auto"/>
              </w:rPr>
              <w:t>541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50" w:lineRule="exact"/>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CARES Act grant income</w:t>
            </w:r>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(80,225)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Litigation settlements</w:t>
            </w:r>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4,589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1"/>
        </w:trPr>
        <w:tc>
          <w:tcPr>
            <w:tcW w:w="4760" w:type="dxa"/>
            <w:vAlign w:val="bottom"/>
          </w:tcPr>
          <w:p>
            <w:pPr>
              <w:spacing w:after="0"/>
              <w:rPr>
                <w:sz w:val="20"/>
                <w:szCs w:val="20"/>
                <w:color w:val="auto"/>
              </w:rPr>
            </w:pPr>
            <w:r>
              <w:rPr>
                <w:rFonts w:ascii="Arial" w:cs="Arial" w:eastAsia="Arial" w:hAnsi="Arial"/>
                <w:sz w:val="18"/>
                <w:szCs w:val="18"/>
                <w:color w:val="auto"/>
              </w:rPr>
              <w:t>Loss on sale of transportation equipment</w:t>
            </w:r>
          </w:p>
        </w:tc>
        <w:tc>
          <w:tcPr>
            <w:tcW w:w="15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183"/>
        </w:trPr>
        <w:tc>
          <w:tcPr>
            <w:tcW w:w="4760" w:type="dxa"/>
            <w:vAlign w:val="bottom"/>
          </w:tcPr>
          <w:p>
            <w:pPr>
              <w:ind w:left="220"/>
              <w:spacing w:after="0" w:line="182" w:lineRule="exact"/>
              <w:rPr>
                <w:sz w:val="20"/>
                <w:szCs w:val="20"/>
                <w:color w:val="auto"/>
              </w:rPr>
            </w:pPr>
            <w:r>
              <w:rPr>
                <w:rFonts w:ascii="Arial" w:cs="Arial" w:eastAsia="Arial" w:hAnsi="Arial"/>
                <w:sz w:val="18"/>
                <w:szCs w:val="18"/>
                <w:color w:val="auto"/>
              </w:rPr>
              <w:t>Total other operating expenses/(income)</w:t>
            </w:r>
          </w:p>
        </w:tc>
        <w:tc>
          <w:tcPr>
            <w:tcW w:w="1560" w:type="dxa"/>
            <w:vAlign w:val="bottom"/>
          </w:tcPr>
          <w:p>
            <w:pPr>
              <w:spacing w:after="0"/>
              <w:rPr>
                <w:sz w:val="15"/>
                <w:szCs w:val="15"/>
                <w:color w:val="auto"/>
              </w:rPr>
            </w:pPr>
          </w:p>
        </w:tc>
        <w:tc>
          <w:tcPr>
            <w:tcW w:w="1120" w:type="dxa"/>
            <w:vAlign w:val="bottom"/>
            <w:tcBorders>
              <w:bottom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987</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(75,095)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for further discussion of the accounting for the CARES Act grant income.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Recent Accounting Standards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November 2021, the FASB issued Accounting Standards Update “ASU No. 2021-10- Government Assistance”. The guidance provides increased transparency related to government assistance including (1) the types of assistance, (2) an entity’s accounting for the assistance and (3) the effect of the assistance on an entity’s financial statements. The guidance is effective for fiscal periods beginning after December 31, 2021. We adopted the guidance prospectively on January 1, 2022. There was no effect to our financial statements.</w:t>
      </w:r>
    </w:p>
    <w:p>
      <w:pPr>
        <w:spacing w:after="0" w:line="14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In March 2020, the FASB issued Accounting Standards Update “ASU No. 2020-04 - Reference Rate Reform”. The update provides optional expedients and exceptions for applying GAAP to contract modifications and hedging relationships, subject to meeting certain criteria, that reference LIBOR or another rate expected to be discontinued. The update is effective for all entities as of March 12, 2020 and will apply through December 31, 2022. The interest rate charged on borrowings from our existing revolver is based on LIBOR. The credit agreement includes provisions for modifying the interest rate in the instance that LIBOR is discontinued. As a result, no contract modifications will be required when LIBOR is discontinued.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5180" w:type="dxa"/>
            <w:vAlign w:val="bottom"/>
            <w:gridSpan w:val="8"/>
          </w:tcPr>
          <w:p>
            <w:pPr>
              <w:jc w:val="center"/>
              <w:ind w:left="130"/>
              <w:spacing w:after="0"/>
              <w:rPr>
                <w:sz w:val="20"/>
                <w:szCs w:val="20"/>
                <w:color w:val="auto"/>
              </w:rPr>
            </w:pPr>
            <w:r>
              <w:rPr>
                <w:rFonts w:ascii="Arial" w:cs="Arial" w:eastAsia="Arial" w:hAnsi="Arial"/>
                <w:sz w:val="18"/>
                <w:szCs w:val="18"/>
                <w:b w:val="1"/>
                <w:bCs w:val="1"/>
                <w:color w:val="auto"/>
                <w:w w:val="99"/>
              </w:rPr>
              <w:t>CHEMED CORPORATION AND SUBSIDIARY COMPANIES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44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rPr>
              <w:t>UNAUDITED CONSOLIDATING STATEMENTS OF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180" w:type="dxa"/>
            <w:vAlign w:val="bottom"/>
            <w:gridSpan w:val="8"/>
          </w:tcPr>
          <w:p>
            <w:pPr>
              <w:jc w:val="center"/>
              <w:ind w:left="130"/>
              <w:spacing w:after="0"/>
              <w:rPr>
                <w:sz w:val="20"/>
                <w:szCs w:val="20"/>
                <w:color w:val="auto"/>
              </w:rPr>
            </w:pPr>
            <w:r>
              <w:rPr>
                <w:rFonts w:ascii="Arial" w:cs="Arial" w:eastAsia="Arial" w:hAnsi="Arial"/>
                <w:sz w:val="18"/>
                <w:szCs w:val="18"/>
                <w:b w:val="1"/>
                <w:bCs w:val="1"/>
                <w:color w:val="auto"/>
                <w:w w:val="98"/>
              </w:rPr>
              <w:t>FOR THE YEAR ENDED DECEMBER 31, 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880" w:type="dxa"/>
            <w:vAlign w:val="bottom"/>
            <w:gridSpan w:val="6"/>
          </w:tcPr>
          <w:p>
            <w:pPr>
              <w:jc w:val="center"/>
              <w:ind w:left="1430"/>
              <w:spacing w:after="0"/>
              <w:rPr>
                <w:sz w:val="20"/>
                <w:szCs w:val="20"/>
                <w:color w:val="auto"/>
              </w:rPr>
            </w:pPr>
            <w:r>
              <w:rPr>
                <w:rFonts w:ascii="Arial" w:cs="Arial" w:eastAsia="Arial" w:hAnsi="Arial"/>
                <w:sz w:val="18"/>
                <w:szCs w:val="18"/>
                <w:b w:val="1"/>
                <w:bCs w:val="1"/>
                <w:color w:val="auto"/>
                <w:w w:val="90"/>
              </w:rPr>
              <w:t>(in thousands)(unaudited)</w:t>
            </w:r>
          </w:p>
        </w:tc>
        <w:tc>
          <w:tcPr>
            <w:tcW w:w="130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Roto-</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restart"/>
          </w:tcPr>
          <w:p>
            <w:pPr>
              <w:jc w:val="right"/>
              <w:ind w:right="347"/>
              <w:spacing w:after="0"/>
              <w:rPr>
                <w:sz w:val="20"/>
                <w:szCs w:val="20"/>
                <w:color w:val="auto"/>
              </w:rPr>
            </w:pPr>
            <w:r>
              <w:rPr>
                <w:rFonts w:ascii="Arial" w:cs="Arial" w:eastAsia="Arial" w:hAnsi="Arial"/>
                <w:sz w:val="18"/>
                <w:szCs w:val="18"/>
                <w:b w:val="1"/>
                <w:bCs w:val="1"/>
                <w:color w:val="auto"/>
              </w:rPr>
              <w:t>Chemed</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VITAS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Rooter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1260" w:type="dxa"/>
            <w:vAlign w:val="bottom"/>
          </w:tcPr>
          <w:p>
            <w:pPr>
              <w:jc w:val="right"/>
              <w:ind w:right="267"/>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w:t>
            </w:r>
          </w:p>
        </w:tc>
        <w:tc>
          <w:tcPr>
            <w:tcW w:w="1900" w:type="dxa"/>
            <w:vAlign w:val="bottom"/>
            <w:tcBorders>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4"/>
                <w:szCs w:val="14"/>
                <w:b w:val="1"/>
                <w:bCs w:val="1"/>
                <w:color w:val="auto"/>
              </w:rPr>
              <w:t>Service revenues and sales</w:t>
            </w:r>
          </w:p>
        </w:tc>
        <w:tc>
          <w:tcPr>
            <w:tcW w:w="19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1,261,246</w:t>
            </w:r>
          </w:p>
        </w:tc>
        <w:tc>
          <w:tcPr>
            <w:tcW w:w="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878,015</w:t>
            </w:r>
          </w:p>
        </w:tc>
        <w:tc>
          <w:tcPr>
            <w:tcW w:w="16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2,139,261</w:t>
            </w:r>
          </w:p>
        </w:tc>
        <w:tc>
          <w:tcPr>
            <w:tcW w:w="0" w:type="dxa"/>
            <w:vAlign w:val="bottom"/>
          </w:tcPr>
          <w:p>
            <w:pPr>
              <w:spacing w:after="0"/>
              <w:rPr>
                <w:sz w:val="1"/>
                <w:szCs w:val="1"/>
                <w:color w:val="auto"/>
              </w:rPr>
            </w:pPr>
          </w:p>
        </w:tc>
      </w:tr>
      <w:tr>
        <w:trPr>
          <w:trHeight w:val="211"/>
        </w:trPr>
        <w:tc>
          <w:tcPr>
            <w:tcW w:w="2920" w:type="dxa"/>
            <w:vAlign w:val="bottom"/>
          </w:tcPr>
          <w:p>
            <w:pPr>
              <w:spacing w:after="0"/>
              <w:rPr>
                <w:sz w:val="20"/>
                <w:szCs w:val="20"/>
                <w:color w:val="auto"/>
              </w:rPr>
            </w:pPr>
            <w:r>
              <w:rPr>
                <w:rFonts w:ascii="Arial" w:cs="Arial" w:eastAsia="Arial" w:hAnsi="Arial"/>
                <w:sz w:val="14"/>
                <w:szCs w:val="14"/>
                <w:b w:val="1"/>
                <w:bCs w:val="1"/>
                <w:color w:val="auto"/>
              </w:rPr>
              <w:t>Cost of services provided and goods sold</w:t>
            </w:r>
          </w:p>
        </w:tc>
        <w:tc>
          <w:tcPr>
            <w:tcW w:w="19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953,420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416,038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1,369,458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4"/>
                <w:szCs w:val="14"/>
                <w:b w:val="1"/>
                <w:bCs w:val="1"/>
                <w:color w:val="auto"/>
                <w:w w:val="97"/>
              </w:rPr>
              <w:t>Selling, general and administrative expenses</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87,585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215,036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64,106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366,727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4"/>
                <w:szCs w:val="14"/>
                <w:b w:val="1"/>
                <w:bCs w:val="1"/>
                <w:color w:val="auto"/>
              </w:rPr>
              <w:t>Depreciation</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23,114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25,816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49,011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4"/>
                <w:szCs w:val="14"/>
                <w:b w:val="1"/>
                <w:bCs w:val="1"/>
                <w:color w:val="auto"/>
              </w:rPr>
              <w:t>Amortization</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9,969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10,040</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20"/>
                <w:szCs w:val="20"/>
                <w:color w:val="auto"/>
              </w:rPr>
            </w:pPr>
            <w:r>
              <w:rPr>
                <w:rFonts w:ascii="Arial" w:cs="Arial" w:eastAsia="Arial" w:hAnsi="Arial"/>
                <w:sz w:val="14"/>
                <w:szCs w:val="14"/>
                <w:b w:val="1"/>
                <w:bCs w:val="1"/>
                <w:color w:val="auto"/>
              </w:rPr>
              <w:t>Other operating expenses</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987</w:t>
            </w:r>
          </w:p>
        </w:tc>
        <w:tc>
          <w:tcPr>
            <w:tcW w:w="0" w:type="dxa"/>
            <w:vAlign w:val="bottom"/>
          </w:tcPr>
          <w:p>
            <w:pPr>
              <w:spacing w:after="0"/>
              <w:rPr>
                <w:sz w:val="1"/>
                <w:szCs w:val="1"/>
                <w:color w:val="auto"/>
              </w:rPr>
            </w:pPr>
          </w:p>
        </w:tc>
      </w:tr>
      <w:tr>
        <w:trPr>
          <w:trHeight w:val="196"/>
        </w:trPr>
        <w:tc>
          <w:tcPr>
            <w:tcW w:w="2920" w:type="dxa"/>
            <w:vAlign w:val="bottom"/>
          </w:tcPr>
          <w:p>
            <w:pPr>
              <w:ind w:left="340"/>
              <w:spacing w:after="0"/>
              <w:rPr>
                <w:sz w:val="20"/>
                <w:szCs w:val="20"/>
                <w:color w:val="auto"/>
              </w:rPr>
            </w:pPr>
            <w:r>
              <w:rPr>
                <w:rFonts w:ascii="Arial" w:cs="Arial" w:eastAsia="Arial" w:hAnsi="Arial"/>
                <w:sz w:val="14"/>
                <w:szCs w:val="14"/>
                <w:b w:val="1"/>
                <w:bCs w:val="1"/>
                <w:color w:val="auto"/>
              </w:rPr>
              <w:t>Total costs and expenses</w:t>
            </w:r>
          </w:p>
        </w:tc>
        <w:tc>
          <w:tcPr>
            <w:tcW w:w="19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1,065,066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666,970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64,187</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1,796,223</w:t>
            </w:r>
          </w:p>
        </w:tc>
        <w:tc>
          <w:tcPr>
            <w:tcW w:w="0" w:type="dxa"/>
            <w:vAlign w:val="bottom"/>
          </w:tcPr>
          <w:p>
            <w:pPr>
              <w:spacing w:after="0"/>
              <w:rPr>
                <w:sz w:val="1"/>
                <w:szCs w:val="1"/>
                <w:color w:val="auto"/>
              </w:rPr>
            </w:pPr>
          </w:p>
        </w:tc>
      </w:tr>
      <w:tr>
        <w:trPr>
          <w:trHeight w:val="211"/>
        </w:trPr>
        <w:tc>
          <w:tcPr>
            <w:tcW w:w="2920" w:type="dxa"/>
            <w:vAlign w:val="bottom"/>
          </w:tcPr>
          <w:p>
            <w:pPr>
              <w:ind w:left="340"/>
              <w:spacing w:after="0"/>
              <w:rPr>
                <w:sz w:val="20"/>
                <w:szCs w:val="20"/>
                <w:color w:val="auto"/>
              </w:rPr>
            </w:pPr>
            <w:r>
              <w:rPr>
                <w:rFonts w:ascii="Arial" w:cs="Arial" w:eastAsia="Arial" w:hAnsi="Arial"/>
                <w:sz w:val="14"/>
                <w:szCs w:val="14"/>
                <w:b w:val="1"/>
                <w:bCs w:val="1"/>
                <w:color w:val="auto"/>
              </w:rPr>
              <w:t>Income/(loss) from operations</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196,180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211,045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(64,187)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343,038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(1,113)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(1,868)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4"/>
                <w:szCs w:val="14"/>
                <w:b w:val="1"/>
                <w:bCs w:val="1"/>
                <w:color w:val="auto"/>
              </w:rPr>
              <w:t>Intercompany interest income/(expense)</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(25,305)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20"/>
                <w:szCs w:val="20"/>
                <w:color w:val="auto"/>
              </w:rPr>
            </w:pPr>
            <w:r>
              <w:rPr>
                <w:rFonts w:ascii="Arial" w:cs="Arial" w:eastAsia="Arial" w:hAnsi="Arial"/>
                <w:sz w:val="14"/>
                <w:szCs w:val="14"/>
                <w:b w:val="1"/>
                <w:bCs w:val="1"/>
                <w:color w:val="auto"/>
              </w:rPr>
              <w:t>Other income—net</w:t>
            </w:r>
          </w:p>
        </w:tc>
        <w:tc>
          <w:tcPr>
            <w:tcW w:w="1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8,309</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9,144</w:t>
            </w:r>
          </w:p>
        </w:tc>
        <w:tc>
          <w:tcPr>
            <w:tcW w:w="0" w:type="dxa"/>
            <w:vAlign w:val="bottom"/>
          </w:tcPr>
          <w:p>
            <w:pPr>
              <w:spacing w:after="0"/>
              <w:rPr>
                <w:sz w:val="1"/>
                <w:szCs w:val="1"/>
                <w:color w:val="auto"/>
              </w:rPr>
            </w:pPr>
          </w:p>
        </w:tc>
      </w:tr>
      <w:tr>
        <w:trPr>
          <w:trHeight w:val="211"/>
        </w:trPr>
        <w:tc>
          <w:tcPr>
            <w:tcW w:w="2920" w:type="dxa"/>
            <w:vAlign w:val="bottom"/>
          </w:tcPr>
          <w:p>
            <w:pPr>
              <w:ind w:left="340"/>
              <w:spacing w:after="0"/>
              <w:rPr>
                <w:sz w:val="20"/>
                <w:szCs w:val="20"/>
                <w:color w:val="auto"/>
              </w:rPr>
            </w:pPr>
            <w:r>
              <w:rPr>
                <w:rFonts w:ascii="Arial" w:cs="Arial" w:eastAsia="Arial" w:hAnsi="Arial"/>
                <w:sz w:val="14"/>
                <w:szCs w:val="14"/>
                <w:b w:val="1"/>
                <w:bCs w:val="1"/>
                <w:color w:val="auto"/>
              </w:rPr>
              <w:t>Income/(loss) before income taxes (a)</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214,857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217,753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(82,296)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350,314</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20"/>
                <w:szCs w:val="20"/>
                <w:color w:val="auto"/>
              </w:rPr>
            </w:pPr>
            <w:r>
              <w:rPr>
                <w:rFonts w:ascii="Arial" w:cs="Arial" w:eastAsia="Arial" w:hAnsi="Arial"/>
                <w:sz w:val="14"/>
                <w:szCs w:val="14"/>
                <w:b w:val="1"/>
                <w:bCs w:val="1"/>
                <w:color w:val="auto"/>
              </w:rPr>
              <w:t>Income taxes</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(52,426)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(51,420)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22,082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(81,764)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Pr>
          <w:p>
            <w:pPr>
              <w:ind w:left="340"/>
              <w:spacing w:after="0"/>
              <w:rPr>
                <w:sz w:val="20"/>
                <w:szCs w:val="20"/>
                <w:color w:val="auto"/>
              </w:rPr>
            </w:pPr>
            <w:r>
              <w:rPr>
                <w:rFonts w:ascii="Arial" w:cs="Arial" w:eastAsia="Arial" w:hAnsi="Arial"/>
                <w:sz w:val="14"/>
                <w:szCs w:val="14"/>
                <w:b w:val="1"/>
                <w:bCs w:val="1"/>
                <w:color w:val="auto"/>
              </w:rPr>
              <w:t>Net income/(loss) (a)</w:t>
            </w:r>
          </w:p>
        </w:tc>
        <w:tc>
          <w:tcPr>
            <w:tcW w:w="19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162,431</w:t>
            </w:r>
          </w:p>
        </w:tc>
        <w:tc>
          <w:tcPr>
            <w:tcW w:w="8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166,333</w:t>
            </w:r>
          </w:p>
        </w:tc>
        <w:tc>
          <w:tcPr>
            <w:tcW w:w="16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(60,214)</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268,550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The following amounts are included in income from continuing operations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Roto-</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Chemed</w:t>
            </w:r>
          </w:p>
        </w:tc>
      </w:tr>
      <w:tr>
        <w:trPr>
          <w:trHeight w:val="201"/>
        </w:trPr>
        <w:tc>
          <w:tcPr>
            <w:tcW w:w="4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VITAS</w:t>
            </w:r>
          </w:p>
        </w:tc>
        <w:tc>
          <w:tcPr>
            <w:tcW w:w="100" w:type="dxa"/>
            <w:vAlign w:val="bottom"/>
          </w:tcPr>
          <w:p>
            <w:pPr>
              <w:spacing w:after="0"/>
              <w:rPr>
                <w:sz w:val="17"/>
                <w:szCs w:val="17"/>
                <w:color w:val="auto"/>
              </w:rPr>
            </w:pPr>
          </w:p>
        </w:tc>
        <w:tc>
          <w:tcPr>
            <w:tcW w:w="96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Rooter</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Consolidated</w:t>
            </w:r>
          </w:p>
        </w:tc>
      </w:tr>
      <w:tr>
        <w:trPr>
          <w:trHeight w:val="211"/>
        </w:trPr>
        <w:tc>
          <w:tcPr>
            <w:tcW w:w="4040" w:type="dxa"/>
            <w:vAlign w:val="bottom"/>
          </w:tcPr>
          <w:p>
            <w:pPr>
              <w:spacing w:after="0"/>
              <w:rPr>
                <w:sz w:val="20"/>
                <w:szCs w:val="20"/>
                <w:color w:val="auto"/>
              </w:rPr>
            </w:pPr>
            <w:r>
              <w:rPr>
                <w:rFonts w:ascii="Arial" w:cs="Arial" w:eastAsia="Arial" w:hAnsi="Arial"/>
                <w:sz w:val="14"/>
                <w:szCs w:val="14"/>
                <w:b w:val="1"/>
                <w:bCs w:val="1"/>
                <w:color w:val="auto"/>
              </w:rPr>
              <w:t>Pretax benefit/(cost):</w:t>
            </w:r>
          </w:p>
        </w:tc>
        <w:tc>
          <w:tcPr>
            <w:tcW w:w="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Stock option expense</w:t>
            </w:r>
          </w:p>
        </w:tc>
        <w:tc>
          <w:tcPr>
            <w:tcW w:w="11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(22,502)</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(22,502)</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Direct costs related to Covid-19</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(16,297)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(18,769)</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Amortization of reacquired franchise agreements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(9,408)</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Long-term incentive compensation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(9,167)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(9,167)</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Facility relocation expenses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(1,855)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(1,855)</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Litigation settlements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r>
        <w:trPr>
          <w:trHeight w:val="201"/>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(218)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(218)</w:t>
            </w: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183"/>
        </w:trPr>
        <w:tc>
          <w:tcPr>
            <w:tcW w:w="404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(18,152)</w:t>
            </w:r>
          </w:p>
        </w:tc>
        <w:tc>
          <w:tcPr>
            <w:tcW w:w="80" w:type="dxa"/>
            <w:vAlign w:val="bottom"/>
          </w:tcPr>
          <w:p>
            <w:pPr>
              <w:spacing w:after="0"/>
              <w:rPr>
                <w:sz w:val="15"/>
                <w:szCs w:val="15"/>
                <w:color w:val="auto"/>
              </w:rPr>
            </w:pPr>
          </w:p>
        </w:tc>
        <w:tc>
          <w:tcPr>
            <w:tcW w:w="106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(11,744)</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(31,925)</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(61,821)</w:t>
            </w: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Roto-</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Chemed</w:t>
            </w:r>
          </w:p>
        </w:tc>
      </w:tr>
      <w:tr>
        <w:trPr>
          <w:trHeight w:val="201"/>
        </w:trPr>
        <w:tc>
          <w:tcPr>
            <w:tcW w:w="4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VITAS</w:t>
            </w:r>
          </w:p>
        </w:tc>
        <w:tc>
          <w:tcPr>
            <w:tcW w:w="100" w:type="dxa"/>
            <w:vAlign w:val="bottom"/>
          </w:tcPr>
          <w:p>
            <w:pPr>
              <w:spacing w:after="0"/>
              <w:rPr>
                <w:sz w:val="17"/>
                <w:szCs w:val="17"/>
                <w:color w:val="auto"/>
              </w:rPr>
            </w:pPr>
          </w:p>
        </w:tc>
        <w:tc>
          <w:tcPr>
            <w:tcW w:w="96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Rooter</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Consolidated</w:t>
            </w:r>
          </w:p>
        </w:tc>
      </w:tr>
      <w:tr>
        <w:trPr>
          <w:trHeight w:val="211"/>
        </w:trPr>
        <w:tc>
          <w:tcPr>
            <w:tcW w:w="4040" w:type="dxa"/>
            <w:vAlign w:val="bottom"/>
          </w:tcPr>
          <w:p>
            <w:pPr>
              <w:spacing w:after="0"/>
              <w:rPr>
                <w:sz w:val="20"/>
                <w:szCs w:val="20"/>
                <w:color w:val="auto"/>
              </w:rPr>
            </w:pPr>
            <w:r>
              <w:rPr>
                <w:rFonts w:ascii="Arial" w:cs="Arial" w:eastAsia="Arial" w:hAnsi="Arial"/>
                <w:sz w:val="14"/>
                <w:szCs w:val="14"/>
                <w:b w:val="1"/>
                <w:bCs w:val="1"/>
                <w:color w:val="auto"/>
              </w:rPr>
              <w:t>After-tax benefit/(cost):</w:t>
            </w:r>
          </w:p>
        </w:tc>
        <w:tc>
          <w:tcPr>
            <w:tcW w:w="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Stock option expense</w:t>
            </w:r>
          </w:p>
        </w:tc>
        <w:tc>
          <w:tcPr>
            <w:tcW w:w="11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(18,879)</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(18,879)</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Direct costs related to Covid-19</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(12,157)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(13,975)</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Excess tax benefits on stock compensation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9,884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9,884</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Long-term incentive compensation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(8,094)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(8,094)</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Amortization of reacquired franchise agreements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(6,915)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(6,915)</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Facility relocation expenses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(1,384)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(1,384)</w:t>
            </w:r>
          </w:p>
        </w:tc>
      </w:tr>
      <w:tr>
        <w:trPr>
          <w:trHeight w:val="216"/>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Litigation settlements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01"/>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(166)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182"/>
        </w:trPr>
        <w:tc>
          <w:tcPr>
            <w:tcW w:w="404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(13,541)</w:t>
            </w:r>
          </w:p>
        </w:tc>
        <w:tc>
          <w:tcPr>
            <w:tcW w:w="80" w:type="dxa"/>
            <w:vAlign w:val="bottom"/>
          </w:tcPr>
          <w:p>
            <w:pPr>
              <w:spacing w:after="0"/>
              <w:rPr>
                <w:sz w:val="15"/>
                <w:szCs w:val="15"/>
                <w:color w:val="auto"/>
              </w:rPr>
            </w:pPr>
          </w:p>
        </w:tc>
        <w:tc>
          <w:tcPr>
            <w:tcW w:w="106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(8,632)</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(17,284)</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(39,457)</w:t>
            </w: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4960" w:type="dxa"/>
            <w:vAlign w:val="bottom"/>
            <w:gridSpan w:val="7"/>
          </w:tcPr>
          <w:p>
            <w:pPr>
              <w:jc w:val="center"/>
              <w:spacing w:after="0"/>
              <w:rPr>
                <w:sz w:val="20"/>
                <w:szCs w:val="20"/>
                <w:color w:val="auto"/>
              </w:rPr>
            </w:pPr>
            <w:r>
              <w:rPr>
                <w:rFonts w:ascii="Arial" w:cs="Arial" w:eastAsia="Arial" w:hAnsi="Arial"/>
                <w:sz w:val="14"/>
                <w:szCs w:val="14"/>
                <w:color w:val="auto"/>
                <w:w w:val="98"/>
              </w:rPr>
              <w:t>CHEMED CORPORATION AND SUBSIDIARY COMPANIES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3140" w:type="dxa"/>
            <w:vAlign w:val="bottom"/>
          </w:tcPr>
          <w:p>
            <w:pPr>
              <w:spacing w:after="0"/>
              <w:rPr>
                <w:sz w:val="18"/>
                <w:szCs w:val="18"/>
                <w:color w:val="auto"/>
              </w:rPr>
            </w:pPr>
          </w:p>
        </w:tc>
        <w:tc>
          <w:tcPr>
            <w:tcW w:w="4960" w:type="dxa"/>
            <w:vAlign w:val="bottom"/>
            <w:gridSpan w:val="7"/>
          </w:tcPr>
          <w:p>
            <w:pPr>
              <w:jc w:val="center"/>
              <w:spacing w:after="0"/>
              <w:rPr>
                <w:sz w:val="20"/>
                <w:szCs w:val="20"/>
                <w:color w:val="auto"/>
              </w:rPr>
            </w:pPr>
            <w:r>
              <w:rPr>
                <w:rFonts w:ascii="Arial" w:cs="Arial" w:eastAsia="Arial" w:hAnsi="Arial"/>
                <w:sz w:val="14"/>
                <w:szCs w:val="14"/>
                <w:color w:val="auto"/>
                <w:w w:val="99"/>
              </w:rPr>
              <w:t>UNAUDITED CONSOLIDATING STATEMENTS OF INCOME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960" w:type="dxa"/>
            <w:vAlign w:val="bottom"/>
            <w:gridSpan w:val="7"/>
          </w:tcPr>
          <w:p>
            <w:pPr>
              <w:jc w:val="center"/>
              <w:spacing w:after="0"/>
              <w:rPr>
                <w:sz w:val="20"/>
                <w:szCs w:val="20"/>
                <w:color w:val="auto"/>
              </w:rPr>
            </w:pPr>
            <w:r>
              <w:rPr>
                <w:rFonts w:ascii="Arial" w:cs="Arial" w:eastAsia="Arial" w:hAnsi="Arial"/>
                <w:sz w:val="14"/>
                <w:szCs w:val="14"/>
                <w:color w:val="auto"/>
                <w:w w:val="97"/>
              </w:rPr>
              <w:t>FOR THE YEAR ENDED DECEMBER 31, 2020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(in thousands)(unaudited)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Roto-</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Chemed</w:t>
            </w:r>
          </w:p>
        </w:tc>
      </w:tr>
      <w:tr>
        <w:trPr>
          <w:trHeight w:val="201"/>
        </w:trPr>
        <w:tc>
          <w:tcPr>
            <w:tcW w:w="3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color w:val="auto"/>
              </w:rPr>
              <w:t>VITAS</w:t>
            </w:r>
          </w:p>
        </w:tc>
        <w:tc>
          <w:tcPr>
            <w:tcW w:w="30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Rooter</w:t>
            </w:r>
          </w:p>
        </w:tc>
        <w:tc>
          <w:tcPr>
            <w:tcW w:w="26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Consolidated</w:t>
            </w:r>
          </w:p>
        </w:tc>
      </w:tr>
      <w:tr>
        <w:trPr>
          <w:trHeight w:val="196"/>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2020</w:t>
            </w:r>
          </w:p>
        </w:tc>
        <w:tc>
          <w:tcPr>
            <w:tcW w:w="1700" w:type="dxa"/>
            <w:vAlign w:val="bottom"/>
            <w:tcBorders>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4"/>
                <w:szCs w:val="14"/>
                <w:color w:val="auto"/>
              </w:rPr>
              <w:t>Service revenues and sales</w:t>
            </w:r>
          </w:p>
        </w:tc>
        <w:tc>
          <w:tcPr>
            <w:tcW w:w="17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1,334,667</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744,916</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2,079,583</w:t>
            </w:r>
          </w:p>
        </w:tc>
      </w:tr>
      <w:tr>
        <w:trPr>
          <w:trHeight w:val="211"/>
        </w:trPr>
        <w:tc>
          <w:tcPr>
            <w:tcW w:w="3140" w:type="dxa"/>
            <w:vAlign w:val="bottom"/>
          </w:tcPr>
          <w:p>
            <w:pPr>
              <w:spacing w:after="0"/>
              <w:rPr>
                <w:sz w:val="20"/>
                <w:szCs w:val="20"/>
                <w:color w:val="auto"/>
              </w:rPr>
            </w:pPr>
            <w:r>
              <w:rPr>
                <w:rFonts w:ascii="Arial" w:cs="Arial" w:eastAsia="Arial" w:hAnsi="Arial"/>
                <w:sz w:val="14"/>
                <w:szCs w:val="14"/>
                <w:color w:val="auto"/>
              </w:rPr>
              <w:t>Cost of services provided and goods sold</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1,010,693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367,504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1,378,197</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85,445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188,268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56,505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330,218</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Depreciation</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22,168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24,292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46,596</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Amortization</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9,987</w:t>
            </w:r>
          </w:p>
        </w:tc>
      </w:tr>
      <w:tr>
        <w:trPr>
          <w:trHeight w:val="201"/>
        </w:trPr>
        <w:tc>
          <w:tcPr>
            <w:tcW w:w="3140" w:type="dxa"/>
            <w:vAlign w:val="bottom"/>
          </w:tcPr>
          <w:p>
            <w:pPr>
              <w:spacing w:after="0"/>
              <w:rPr>
                <w:sz w:val="20"/>
                <w:szCs w:val="20"/>
                <w:color w:val="auto"/>
              </w:rPr>
            </w:pPr>
            <w:r>
              <w:rPr>
                <w:rFonts w:ascii="Arial" w:cs="Arial" w:eastAsia="Arial" w:hAnsi="Arial"/>
                <w:sz w:val="14"/>
                <w:szCs w:val="14"/>
                <w:color w:val="auto"/>
              </w:rPr>
              <w:t>Other operating (income)/expenses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(78,590)</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3,495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(75,095)</w:t>
            </w:r>
          </w:p>
        </w:tc>
      </w:tr>
      <w:tr>
        <w:trPr>
          <w:trHeight w:val="196"/>
        </w:trPr>
        <w:tc>
          <w:tcPr>
            <w:tcW w:w="3140" w:type="dxa"/>
            <w:vAlign w:val="bottom"/>
          </w:tcPr>
          <w:p>
            <w:pPr>
              <w:ind w:left="340"/>
              <w:spacing w:after="0"/>
              <w:rPr>
                <w:sz w:val="20"/>
                <w:szCs w:val="20"/>
                <w:color w:val="auto"/>
              </w:rPr>
            </w:pPr>
            <w:r>
              <w:rPr>
                <w:rFonts w:ascii="Arial" w:cs="Arial" w:eastAsia="Arial" w:hAnsi="Arial"/>
                <w:sz w:val="14"/>
                <w:szCs w:val="14"/>
                <w:color w:val="auto"/>
              </w:rPr>
              <w:t>Total costs and expenses</w:t>
            </w:r>
          </w:p>
        </w:tc>
        <w:tc>
          <w:tcPr>
            <w:tcW w:w="17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1,039,787</w:t>
            </w: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593,475</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56,641</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1,689,903</w:t>
            </w:r>
          </w:p>
        </w:tc>
      </w:tr>
      <w:tr>
        <w:trPr>
          <w:trHeight w:val="211"/>
        </w:trPr>
        <w:tc>
          <w:tcPr>
            <w:tcW w:w="3140" w:type="dxa"/>
            <w:vAlign w:val="bottom"/>
          </w:tcPr>
          <w:p>
            <w:pPr>
              <w:ind w:left="340"/>
              <w:spacing w:after="0"/>
              <w:rPr>
                <w:sz w:val="20"/>
                <w:szCs w:val="20"/>
                <w:color w:val="auto"/>
              </w:rPr>
            </w:pPr>
            <w:r>
              <w:rPr>
                <w:rFonts w:ascii="Arial" w:cs="Arial" w:eastAsia="Arial" w:hAnsi="Arial"/>
                <w:sz w:val="14"/>
                <w:szCs w:val="14"/>
                <w:color w:val="auto"/>
              </w:rPr>
              <w:t>Income/(loss) from operations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294,880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151,441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(56,641)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389,680</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Interest expense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(166)</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(340)</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(1,849)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(2,355)</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Intercompany interest income/(expense)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(26,153)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3140" w:type="dxa"/>
            <w:vAlign w:val="bottom"/>
          </w:tcPr>
          <w:p>
            <w:pPr>
              <w:spacing w:after="0"/>
              <w:rPr>
                <w:sz w:val="20"/>
                <w:szCs w:val="20"/>
                <w:color w:val="auto"/>
              </w:rPr>
            </w:pPr>
            <w:r>
              <w:rPr>
                <w:rFonts w:ascii="Arial" w:cs="Arial" w:eastAsia="Arial" w:hAnsi="Arial"/>
                <w:sz w:val="14"/>
                <w:szCs w:val="14"/>
                <w:color w:val="auto"/>
              </w:rPr>
              <w:t>Other income—net</w:t>
            </w:r>
          </w:p>
        </w:tc>
        <w:tc>
          <w:tcPr>
            <w:tcW w:w="1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8,665</w:t>
            </w:r>
          </w:p>
        </w:tc>
      </w:tr>
      <w:tr>
        <w:trPr>
          <w:trHeight w:val="211"/>
        </w:trPr>
        <w:tc>
          <w:tcPr>
            <w:tcW w:w="3140" w:type="dxa"/>
            <w:vAlign w:val="bottom"/>
          </w:tcPr>
          <w:p>
            <w:pPr>
              <w:ind w:left="340"/>
              <w:spacing w:after="0"/>
              <w:rPr>
                <w:sz w:val="20"/>
                <w:szCs w:val="20"/>
                <w:color w:val="auto"/>
              </w:rPr>
            </w:pPr>
            <w:r>
              <w:rPr>
                <w:rFonts w:ascii="Arial" w:cs="Arial" w:eastAsia="Arial" w:hAnsi="Arial"/>
                <w:sz w:val="14"/>
                <w:szCs w:val="14"/>
                <w:color w:val="auto"/>
              </w:rPr>
              <w:t>Income/(loss) before income taxes (a)</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315,255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157,432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(76,697)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395,990</w:t>
            </w:r>
          </w:p>
        </w:tc>
      </w:tr>
      <w:tr>
        <w:trPr>
          <w:trHeight w:val="201"/>
        </w:trPr>
        <w:tc>
          <w:tcPr>
            <w:tcW w:w="3140" w:type="dxa"/>
            <w:vAlign w:val="bottom"/>
          </w:tcPr>
          <w:p>
            <w:pPr>
              <w:spacing w:after="0"/>
              <w:rPr>
                <w:sz w:val="20"/>
                <w:szCs w:val="20"/>
                <w:color w:val="auto"/>
              </w:rPr>
            </w:pPr>
            <w:r>
              <w:rPr>
                <w:rFonts w:ascii="Arial" w:cs="Arial" w:eastAsia="Arial" w:hAnsi="Arial"/>
                <w:sz w:val="14"/>
                <w:szCs w:val="14"/>
                <w:color w:val="auto"/>
              </w:rPr>
              <w:t>Income taxes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(76,473)</w:t>
            </w: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(37,038)</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36,987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(76,524)</w:t>
            </w:r>
          </w:p>
        </w:tc>
      </w:tr>
      <w:tr>
        <w:trPr>
          <w:trHeight w:val="183"/>
        </w:trPr>
        <w:tc>
          <w:tcPr>
            <w:tcW w:w="3140" w:type="dxa"/>
            <w:vAlign w:val="bottom"/>
          </w:tcPr>
          <w:p>
            <w:pPr>
              <w:ind w:left="340"/>
              <w:spacing w:after="0"/>
              <w:rPr>
                <w:sz w:val="20"/>
                <w:szCs w:val="20"/>
                <w:color w:val="auto"/>
              </w:rPr>
            </w:pPr>
            <w:r>
              <w:rPr>
                <w:rFonts w:ascii="Arial" w:cs="Arial" w:eastAsia="Arial" w:hAnsi="Arial"/>
                <w:sz w:val="14"/>
                <w:szCs w:val="14"/>
                <w:color w:val="auto"/>
              </w:rPr>
              <w:t>Net income/(loss) (a)</w:t>
            </w:r>
          </w:p>
        </w:tc>
        <w:tc>
          <w:tcPr>
            <w:tcW w:w="17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238,782</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120,394</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(39,710)</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319,466</w:t>
            </w:r>
          </w:p>
        </w:tc>
      </w:tr>
      <w:tr>
        <w:trPr>
          <w:trHeight w:val="20"/>
        </w:trPr>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(a)  The following amounts are included in income from continuing operations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Roto-</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color w:val="auto"/>
                <w:w w:val="90"/>
              </w:rPr>
              <w:t>Chemed</w:t>
            </w:r>
          </w:p>
        </w:tc>
      </w:tr>
      <w:tr>
        <w:trPr>
          <w:trHeight w:val="201"/>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rPr>
              <w:t>VITAS</w:t>
            </w:r>
          </w:p>
        </w:tc>
        <w:tc>
          <w:tcPr>
            <w:tcW w:w="30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Rooter</w:t>
            </w:r>
          </w:p>
        </w:tc>
        <w:tc>
          <w:tcPr>
            <w:tcW w:w="18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color w:val="auto"/>
                <w:w w:val="92"/>
              </w:rPr>
              <w:t>Consolidated</w:t>
            </w:r>
          </w:p>
        </w:tc>
      </w:tr>
      <w:tr>
        <w:trPr>
          <w:trHeight w:val="211"/>
        </w:trPr>
        <w:tc>
          <w:tcPr>
            <w:tcW w:w="4840" w:type="dxa"/>
            <w:vAlign w:val="bottom"/>
          </w:tcPr>
          <w:p>
            <w:pPr>
              <w:spacing w:after="0"/>
              <w:rPr>
                <w:sz w:val="20"/>
                <w:szCs w:val="20"/>
                <w:color w:val="auto"/>
              </w:rPr>
            </w:pPr>
            <w:r>
              <w:rPr>
                <w:rFonts w:ascii="Arial" w:cs="Arial" w:eastAsia="Arial" w:hAnsi="Arial"/>
                <w:sz w:val="14"/>
                <w:szCs w:val="14"/>
                <w:color w:val="auto"/>
              </w:rPr>
              <w:t>Pretax benefit/(cost):</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CARES Act grant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80,225</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80,225</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Direct costs related to COVID-19</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(35,441)</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(3,819)</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(39,260)</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Stock option expense</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(18,422)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(18,422)</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Amortization of reacquired franchise agreements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(9,408)</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(9,408)</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Long-term incentive compensation</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(8,937)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(8,937)</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Litigation settlements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(3,639)</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(3,639)</w:t>
            </w:r>
          </w:p>
        </w:tc>
      </w:tr>
      <w:tr>
        <w:trPr>
          <w:trHeight w:val="201"/>
        </w:trPr>
        <w:tc>
          <w:tcPr>
            <w:tcW w:w="4840" w:type="dxa"/>
            <w:vAlign w:val="bottom"/>
          </w:tcPr>
          <w:p>
            <w:pPr>
              <w:ind w:left="220"/>
              <w:spacing w:after="0"/>
              <w:rPr>
                <w:sz w:val="20"/>
                <w:szCs w:val="20"/>
                <w:color w:val="auto"/>
              </w:rPr>
            </w:pPr>
            <w:r>
              <w:rPr>
                <w:rFonts w:ascii="Arial" w:cs="Arial" w:eastAsia="Arial" w:hAnsi="Arial"/>
                <w:sz w:val="14"/>
                <w:szCs w:val="14"/>
                <w:color w:val="auto"/>
              </w:rPr>
              <w:t>Medicare cap sequestration adjustment</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(619)</w:t>
            </w: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183"/>
        </w:trPr>
        <w:tc>
          <w:tcPr>
            <w:tcW w:w="4840" w:type="dxa"/>
            <w:vAlign w:val="bottom"/>
          </w:tcPr>
          <w:p>
            <w:pPr>
              <w:ind w:left="44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44,165</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(16,866)</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(27,359)</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01"/>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Roto-</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color w:val="auto"/>
                <w:w w:val="90"/>
              </w:rPr>
              <w:t>Chemed</w:t>
            </w:r>
          </w:p>
        </w:tc>
      </w:tr>
      <w:tr>
        <w:trPr>
          <w:trHeight w:val="201"/>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rPr>
              <w:t>VITAS</w:t>
            </w:r>
          </w:p>
        </w:tc>
        <w:tc>
          <w:tcPr>
            <w:tcW w:w="30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Rooter</w:t>
            </w:r>
          </w:p>
        </w:tc>
        <w:tc>
          <w:tcPr>
            <w:tcW w:w="18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color w:val="auto"/>
                <w:w w:val="92"/>
              </w:rPr>
              <w:t>Consolidated</w:t>
            </w:r>
          </w:p>
        </w:tc>
      </w:tr>
      <w:tr>
        <w:trPr>
          <w:trHeight w:val="211"/>
        </w:trPr>
        <w:tc>
          <w:tcPr>
            <w:tcW w:w="4840" w:type="dxa"/>
            <w:vAlign w:val="bottom"/>
          </w:tcPr>
          <w:p>
            <w:pPr>
              <w:spacing w:after="0"/>
              <w:rPr>
                <w:sz w:val="20"/>
                <w:szCs w:val="20"/>
                <w:color w:val="auto"/>
              </w:rPr>
            </w:pPr>
            <w:r>
              <w:rPr>
                <w:rFonts w:ascii="Arial" w:cs="Arial" w:eastAsia="Arial" w:hAnsi="Arial"/>
                <w:sz w:val="14"/>
                <w:szCs w:val="14"/>
                <w:color w:val="auto"/>
              </w:rPr>
              <w:t>After-tax benefit/(cost):</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CARES Act grant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59,848</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59,848</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Direct costs related to COVID-19</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(26,430)</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(2,808)</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(29,238)</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Stock option expense</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(15,700)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(15,700)</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Amortization of reacquired franchise agreements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(6,914)</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(6,914)</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Long-term incentive compensation</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(7,895)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(7,895)</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Litigation settlements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(2,675)</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(2,675)</w:t>
            </w: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Medicare cap sequestration adjustment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(462)</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01"/>
        </w:trPr>
        <w:tc>
          <w:tcPr>
            <w:tcW w:w="4840" w:type="dxa"/>
            <w:vAlign w:val="bottom"/>
          </w:tcPr>
          <w:p>
            <w:pPr>
              <w:ind w:left="220"/>
              <w:spacing w:after="0"/>
              <w:rPr>
                <w:sz w:val="20"/>
                <w:szCs w:val="20"/>
                <w:color w:val="auto"/>
              </w:rPr>
            </w:pPr>
            <w:r>
              <w:rPr>
                <w:rFonts w:ascii="Arial" w:cs="Arial" w:eastAsia="Arial" w:hAnsi="Arial"/>
                <w:sz w:val="14"/>
                <w:szCs w:val="14"/>
                <w:color w:val="auto"/>
              </w:rPr>
              <w:t>Excess tax benefits on stock compensation</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26,089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26,089</w:t>
            </w:r>
          </w:p>
        </w:tc>
      </w:tr>
      <w:tr>
        <w:trPr>
          <w:trHeight w:val="183"/>
        </w:trPr>
        <w:tc>
          <w:tcPr>
            <w:tcW w:w="4840" w:type="dxa"/>
            <w:vAlign w:val="bottom"/>
          </w:tcPr>
          <w:p>
            <w:pPr>
              <w:ind w:left="44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32,956</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(12,397)</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2,494</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23,053</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5220" w:type="dxa"/>
            <w:vAlign w:val="bottom"/>
            <w:gridSpan w:val="8"/>
          </w:tcPr>
          <w:p>
            <w:pPr>
              <w:jc w:val="center"/>
              <w:ind w:right="240"/>
              <w:spacing w:after="0"/>
              <w:rPr>
                <w:sz w:val="20"/>
                <w:szCs w:val="20"/>
                <w:color w:val="auto"/>
              </w:rPr>
            </w:pPr>
            <w:r>
              <w:rPr>
                <w:rFonts w:ascii="Arial" w:cs="Arial" w:eastAsia="Arial" w:hAnsi="Arial"/>
                <w:sz w:val="14"/>
                <w:szCs w:val="14"/>
                <w:color w:val="auto"/>
                <w:w w:val="98"/>
              </w:rPr>
              <w:t>CHEMED CORPORATION AND SUBSIDIARY COMPANIES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3140" w:type="dxa"/>
            <w:vAlign w:val="bottom"/>
          </w:tcPr>
          <w:p>
            <w:pPr>
              <w:spacing w:after="0"/>
              <w:rPr>
                <w:sz w:val="18"/>
                <w:szCs w:val="18"/>
                <w:color w:val="auto"/>
              </w:rPr>
            </w:pPr>
          </w:p>
        </w:tc>
        <w:tc>
          <w:tcPr>
            <w:tcW w:w="5220" w:type="dxa"/>
            <w:vAlign w:val="bottom"/>
            <w:gridSpan w:val="8"/>
          </w:tcPr>
          <w:p>
            <w:pPr>
              <w:jc w:val="center"/>
              <w:ind w:right="260"/>
              <w:spacing w:after="0"/>
              <w:rPr>
                <w:sz w:val="20"/>
                <w:szCs w:val="20"/>
                <w:color w:val="auto"/>
              </w:rPr>
            </w:pPr>
            <w:r>
              <w:rPr>
                <w:rFonts w:ascii="Arial" w:cs="Arial" w:eastAsia="Arial" w:hAnsi="Arial"/>
                <w:sz w:val="14"/>
                <w:szCs w:val="14"/>
                <w:color w:val="auto"/>
                <w:w w:val="99"/>
              </w:rPr>
              <w:t>UNAUDITED CONSOLIDATING STATEMENTS OF INCOME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060" w:type="dxa"/>
            <w:vAlign w:val="bottom"/>
            <w:gridSpan w:val="6"/>
          </w:tcPr>
          <w:p>
            <w:pPr>
              <w:jc w:val="center"/>
              <w:ind w:left="848"/>
              <w:spacing w:after="0"/>
              <w:rPr>
                <w:sz w:val="20"/>
                <w:szCs w:val="20"/>
                <w:color w:val="auto"/>
              </w:rPr>
            </w:pPr>
            <w:r>
              <w:rPr>
                <w:rFonts w:ascii="Arial" w:cs="Arial" w:eastAsia="Arial" w:hAnsi="Arial"/>
                <w:sz w:val="14"/>
                <w:szCs w:val="14"/>
                <w:color w:val="auto"/>
                <w:w w:val="97"/>
              </w:rPr>
              <w:t>FOR THE YEAR ENDED DECEMBER 31, 2019</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600" w:type="dxa"/>
            <w:vAlign w:val="bottom"/>
            <w:gridSpan w:val="4"/>
          </w:tcPr>
          <w:p>
            <w:pPr>
              <w:jc w:val="center"/>
              <w:ind w:left="1288"/>
              <w:spacing w:after="0"/>
              <w:rPr>
                <w:sz w:val="20"/>
                <w:szCs w:val="20"/>
                <w:color w:val="auto"/>
              </w:rPr>
            </w:pPr>
            <w:r>
              <w:rPr>
                <w:rFonts w:ascii="Arial" w:cs="Arial" w:eastAsia="Arial" w:hAnsi="Arial"/>
                <w:sz w:val="14"/>
                <w:szCs w:val="14"/>
                <w:color w:val="auto"/>
                <w:w w:val="92"/>
              </w:rPr>
              <w:t>(in thousands)(unaudited)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Roto-</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Chemed</w:t>
            </w:r>
          </w:p>
        </w:tc>
      </w:tr>
      <w:tr>
        <w:trPr>
          <w:trHeight w:val="201"/>
        </w:trPr>
        <w:tc>
          <w:tcPr>
            <w:tcW w:w="3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VITAS</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color w:val="auto"/>
              </w:rPr>
              <w:t>Rooter</w:t>
            </w:r>
          </w:p>
        </w:tc>
        <w:tc>
          <w:tcPr>
            <w:tcW w:w="22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Corporate</w:t>
            </w:r>
          </w:p>
        </w:tc>
        <w:tc>
          <w:tcPr>
            <w:tcW w:w="180" w:type="dxa"/>
            <w:vAlign w:val="bottom"/>
          </w:tcPr>
          <w:p>
            <w:pPr>
              <w:spacing w:after="0"/>
              <w:rPr>
                <w:sz w:val="17"/>
                <w:szCs w:val="17"/>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Consolidated</w:t>
            </w:r>
          </w:p>
        </w:tc>
      </w:tr>
      <w:tr>
        <w:trPr>
          <w:trHeight w:val="196"/>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2019</w:t>
            </w:r>
          </w:p>
        </w:tc>
        <w:tc>
          <w:tcPr>
            <w:tcW w:w="2180" w:type="dxa"/>
            <w:vAlign w:val="bottom"/>
            <w:tcBorders>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4"/>
                <w:szCs w:val="14"/>
                <w:color w:val="auto"/>
              </w:rPr>
              <w:t>Service revenues and sales</w:t>
            </w:r>
          </w:p>
        </w:tc>
        <w:tc>
          <w:tcPr>
            <w:tcW w:w="2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1,281,184</w:t>
            </w:r>
          </w:p>
        </w:tc>
        <w:tc>
          <w:tcPr>
            <w:tcW w:w="80" w:type="dxa"/>
            <w:vAlign w:val="bottom"/>
          </w:tcPr>
          <w:p>
            <w:pPr>
              <w:spacing w:after="0"/>
              <w:rPr>
                <w:sz w:val="17"/>
                <w:szCs w:val="17"/>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657,371</w:t>
            </w:r>
          </w:p>
        </w:tc>
        <w:tc>
          <w:tcPr>
            <w:tcW w:w="18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1,938,555</w:t>
            </w:r>
          </w:p>
        </w:tc>
      </w:tr>
      <w:tr>
        <w:trPr>
          <w:trHeight w:val="211"/>
        </w:trPr>
        <w:tc>
          <w:tcPr>
            <w:tcW w:w="3140" w:type="dxa"/>
            <w:vAlign w:val="bottom"/>
          </w:tcPr>
          <w:p>
            <w:pPr>
              <w:spacing w:after="0"/>
              <w:rPr>
                <w:sz w:val="20"/>
                <w:szCs w:val="20"/>
                <w:color w:val="auto"/>
              </w:rPr>
            </w:pPr>
            <w:r>
              <w:rPr>
                <w:rFonts w:ascii="Arial" w:cs="Arial" w:eastAsia="Arial" w:hAnsi="Arial"/>
                <w:sz w:val="14"/>
                <w:szCs w:val="14"/>
                <w:color w:val="auto"/>
              </w:rPr>
              <w:t>Cost of services provided and goods sold</w:t>
            </w:r>
          </w:p>
        </w:tc>
        <w:tc>
          <w:tcPr>
            <w:tcW w:w="2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982,056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339,070</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1,321,126</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86,345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166,934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305,712</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Depreciation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40,870</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Amortization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4,335</w:t>
            </w:r>
          </w:p>
        </w:tc>
      </w:tr>
      <w:tr>
        <w:trPr>
          <w:trHeight w:val="201"/>
        </w:trPr>
        <w:tc>
          <w:tcPr>
            <w:tcW w:w="3140" w:type="dxa"/>
            <w:vAlign w:val="bottom"/>
          </w:tcPr>
          <w:p>
            <w:pPr>
              <w:spacing w:after="0"/>
              <w:rPr>
                <w:sz w:val="20"/>
                <w:szCs w:val="20"/>
                <w:color w:val="auto"/>
              </w:rPr>
            </w:pPr>
            <w:r>
              <w:rPr>
                <w:rFonts w:ascii="Arial" w:cs="Arial" w:eastAsia="Arial" w:hAnsi="Arial"/>
                <w:sz w:val="14"/>
                <w:szCs w:val="14"/>
                <w:color w:val="auto"/>
              </w:rPr>
              <w:t>Other operating expenses</w:t>
            </w:r>
          </w:p>
        </w:tc>
        <w:tc>
          <w:tcPr>
            <w:tcW w:w="2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9,132</w:t>
            </w:r>
          </w:p>
        </w:tc>
      </w:tr>
      <w:tr>
        <w:trPr>
          <w:trHeight w:val="196"/>
        </w:trPr>
        <w:tc>
          <w:tcPr>
            <w:tcW w:w="3140" w:type="dxa"/>
            <w:vAlign w:val="bottom"/>
          </w:tcPr>
          <w:p>
            <w:pPr>
              <w:ind w:left="340"/>
              <w:spacing w:after="0"/>
              <w:rPr>
                <w:sz w:val="20"/>
                <w:szCs w:val="20"/>
                <w:color w:val="auto"/>
              </w:rPr>
            </w:pPr>
            <w:r>
              <w:rPr>
                <w:rFonts w:ascii="Arial" w:cs="Arial" w:eastAsia="Arial" w:hAnsi="Arial"/>
                <w:sz w:val="14"/>
                <w:szCs w:val="14"/>
                <w:color w:val="auto"/>
              </w:rPr>
              <w:t>Total costs and expenses</w:t>
            </w:r>
          </w:p>
        </w:tc>
        <w:tc>
          <w:tcPr>
            <w:tcW w:w="2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1,095,002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531,318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54,855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1,681,175</w:t>
            </w:r>
          </w:p>
        </w:tc>
      </w:tr>
      <w:tr>
        <w:trPr>
          <w:trHeight w:val="211"/>
        </w:trPr>
        <w:tc>
          <w:tcPr>
            <w:tcW w:w="3140" w:type="dxa"/>
            <w:vAlign w:val="bottom"/>
          </w:tcPr>
          <w:p>
            <w:pPr>
              <w:ind w:left="340"/>
              <w:spacing w:after="0"/>
              <w:rPr>
                <w:sz w:val="20"/>
                <w:szCs w:val="20"/>
                <w:color w:val="auto"/>
              </w:rPr>
            </w:pPr>
            <w:r>
              <w:rPr>
                <w:rFonts w:ascii="Arial" w:cs="Arial" w:eastAsia="Arial" w:hAnsi="Arial"/>
                <w:sz w:val="14"/>
                <w:szCs w:val="14"/>
                <w:color w:val="auto"/>
              </w:rPr>
              <w:t>Income/(loss) from operations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186,182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126,053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(54,855)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257,380</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Interest expense</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(345)</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(4,021)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(4,535)</w:t>
            </w: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Intercompany interest income/(expense)</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(26,287)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3140" w:type="dxa"/>
            <w:vAlign w:val="bottom"/>
          </w:tcPr>
          <w:p>
            <w:pPr>
              <w:spacing w:after="0"/>
              <w:rPr>
                <w:sz w:val="20"/>
                <w:szCs w:val="20"/>
                <w:color w:val="auto"/>
              </w:rPr>
            </w:pPr>
            <w:r>
              <w:rPr>
                <w:rFonts w:ascii="Arial" w:cs="Arial" w:eastAsia="Arial" w:hAnsi="Arial"/>
                <w:sz w:val="14"/>
                <w:szCs w:val="14"/>
                <w:color w:val="auto"/>
              </w:rPr>
              <w:t>Other income—net</w:t>
            </w:r>
          </w:p>
        </w:tc>
        <w:tc>
          <w:tcPr>
            <w:tcW w:w="2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8,764</w:t>
            </w:r>
          </w:p>
        </w:tc>
      </w:tr>
      <w:tr>
        <w:trPr>
          <w:trHeight w:val="211"/>
        </w:trPr>
        <w:tc>
          <w:tcPr>
            <w:tcW w:w="3140" w:type="dxa"/>
            <w:vAlign w:val="bottom"/>
          </w:tcPr>
          <w:p>
            <w:pPr>
              <w:ind w:left="340"/>
              <w:spacing w:after="0"/>
              <w:rPr>
                <w:sz w:val="20"/>
                <w:szCs w:val="20"/>
                <w:color w:val="auto"/>
              </w:rPr>
            </w:pPr>
            <w:r>
              <w:rPr>
                <w:rFonts w:ascii="Arial" w:cs="Arial" w:eastAsia="Arial" w:hAnsi="Arial"/>
                <w:sz w:val="14"/>
                <w:szCs w:val="14"/>
                <w:color w:val="auto"/>
              </w:rPr>
              <w:t>Income/(loss) before income taxes (a)</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204,533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133,986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(76,910)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261,609</w:t>
            </w:r>
          </w:p>
        </w:tc>
      </w:tr>
      <w:tr>
        <w:trPr>
          <w:trHeight w:val="201"/>
        </w:trPr>
        <w:tc>
          <w:tcPr>
            <w:tcW w:w="3140" w:type="dxa"/>
            <w:vAlign w:val="bottom"/>
          </w:tcPr>
          <w:p>
            <w:pPr>
              <w:spacing w:after="0"/>
              <w:rPr>
                <w:sz w:val="20"/>
                <w:szCs w:val="20"/>
                <w:color w:val="auto"/>
              </w:rPr>
            </w:pPr>
            <w:r>
              <w:rPr>
                <w:rFonts w:ascii="Arial" w:cs="Arial" w:eastAsia="Arial" w:hAnsi="Arial"/>
                <w:sz w:val="14"/>
                <w:szCs w:val="14"/>
                <w:color w:val="auto"/>
              </w:rPr>
              <w:t>Income taxes</w:t>
            </w: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(48,711)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(30,276)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37,301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(41,686)</w:t>
            </w:r>
          </w:p>
        </w:tc>
      </w:tr>
      <w:tr>
        <w:trPr>
          <w:trHeight w:val="20"/>
        </w:trPr>
        <w:tc>
          <w:tcPr>
            <w:tcW w:w="3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83"/>
        </w:trPr>
        <w:tc>
          <w:tcPr>
            <w:tcW w:w="3140" w:type="dxa"/>
            <w:vAlign w:val="bottom"/>
          </w:tcPr>
          <w:p>
            <w:pPr>
              <w:ind w:left="340"/>
              <w:spacing w:after="0"/>
              <w:rPr>
                <w:sz w:val="20"/>
                <w:szCs w:val="20"/>
                <w:color w:val="auto"/>
              </w:rPr>
            </w:pPr>
            <w:r>
              <w:rPr>
                <w:rFonts w:ascii="Arial" w:cs="Arial" w:eastAsia="Arial" w:hAnsi="Arial"/>
                <w:sz w:val="14"/>
                <w:szCs w:val="14"/>
                <w:color w:val="auto"/>
              </w:rPr>
              <w:t>Net income/(loss) (a)</w:t>
            </w:r>
          </w:p>
        </w:tc>
        <w:tc>
          <w:tcPr>
            <w:tcW w:w="2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155,822</w:t>
            </w:r>
          </w:p>
        </w:tc>
        <w:tc>
          <w:tcPr>
            <w:tcW w:w="80" w:type="dxa"/>
            <w:vAlign w:val="bottom"/>
          </w:tcPr>
          <w:p>
            <w:pPr>
              <w:spacing w:after="0"/>
              <w:rPr>
                <w:sz w:val="15"/>
                <w:szCs w:val="15"/>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103,710</w:t>
            </w:r>
          </w:p>
        </w:tc>
        <w:tc>
          <w:tcPr>
            <w:tcW w:w="180" w:type="dxa"/>
            <w:vAlign w:val="bottom"/>
          </w:tcPr>
          <w:p>
            <w:pPr>
              <w:spacing w:after="0"/>
              <w:rPr>
                <w:sz w:val="15"/>
                <w:szCs w:val="15"/>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(39,609)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219,923</w:t>
            </w:r>
          </w:p>
        </w:tc>
      </w:tr>
      <w:tr>
        <w:trPr>
          <w:trHeight w:val="20"/>
        </w:trPr>
        <w:tc>
          <w:tcPr>
            <w:tcW w:w="3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(a)  The following amounts are included in income from continuing operations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left="388"/>
              <w:spacing w:after="0"/>
              <w:rPr>
                <w:sz w:val="20"/>
                <w:szCs w:val="20"/>
                <w:color w:val="auto"/>
              </w:rPr>
            </w:pPr>
            <w:r>
              <w:rPr>
                <w:rFonts w:ascii="Arial" w:cs="Arial" w:eastAsia="Arial" w:hAnsi="Arial"/>
                <w:sz w:val="14"/>
                <w:szCs w:val="14"/>
                <w:color w:val="auto"/>
                <w:w w:val="99"/>
              </w:rPr>
              <w:t>Roto-</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0"/>
              </w:rPr>
              <w:t>Chemed</w:t>
            </w:r>
          </w:p>
        </w:tc>
      </w:tr>
      <w:tr>
        <w:trPr>
          <w:trHeight w:val="201"/>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VITAS</w:t>
            </w:r>
          </w:p>
        </w:tc>
        <w:tc>
          <w:tcPr>
            <w:tcW w:w="80" w:type="dxa"/>
            <w:vAlign w:val="bottom"/>
          </w:tcPr>
          <w:p>
            <w:pPr>
              <w:spacing w:after="0"/>
              <w:rPr>
                <w:sz w:val="17"/>
                <w:szCs w:val="17"/>
                <w:color w:val="auto"/>
              </w:rPr>
            </w:pPr>
          </w:p>
        </w:tc>
        <w:tc>
          <w:tcPr>
            <w:tcW w:w="920" w:type="dxa"/>
            <w:vAlign w:val="bottom"/>
          </w:tcPr>
          <w:p>
            <w:pPr>
              <w:jc w:val="center"/>
              <w:ind w:left="388"/>
              <w:spacing w:after="0"/>
              <w:rPr>
                <w:sz w:val="20"/>
                <w:szCs w:val="20"/>
                <w:color w:val="auto"/>
              </w:rPr>
            </w:pPr>
            <w:r>
              <w:rPr>
                <w:rFonts w:ascii="Arial" w:cs="Arial" w:eastAsia="Arial" w:hAnsi="Arial"/>
                <w:sz w:val="14"/>
                <w:szCs w:val="14"/>
                <w:color w:val="auto"/>
                <w:w w:val="90"/>
              </w:rPr>
              <w:t>Rooter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Corporate</w:t>
            </w: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2"/>
              </w:rPr>
              <w:t>Consolidated</w:t>
            </w:r>
          </w:p>
        </w:tc>
      </w:tr>
      <w:tr>
        <w:trPr>
          <w:trHeight w:val="211"/>
        </w:trPr>
        <w:tc>
          <w:tcPr>
            <w:tcW w:w="4180" w:type="dxa"/>
            <w:vAlign w:val="bottom"/>
          </w:tcPr>
          <w:p>
            <w:pPr>
              <w:spacing w:after="0"/>
              <w:rPr>
                <w:sz w:val="20"/>
                <w:szCs w:val="20"/>
                <w:color w:val="auto"/>
              </w:rPr>
            </w:pPr>
            <w:r>
              <w:rPr>
                <w:rFonts w:ascii="Arial" w:cs="Arial" w:eastAsia="Arial" w:hAnsi="Arial"/>
                <w:sz w:val="14"/>
                <w:szCs w:val="14"/>
                <w:color w:val="auto"/>
              </w:rPr>
              <w:t>Pretax benefit/(cost):</w:t>
            </w:r>
          </w:p>
        </w:tc>
        <w:tc>
          <w:tcPr>
            <w:tcW w:w="1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Stock option expense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(14,831)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(14,831)</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Long-term incentive compensation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(7,630)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(7,630)</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Litigation settlements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Acquisition expenses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(4,664)</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(170)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(4,834)</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Medicare cap sequestration adjustment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(3,982)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(3,982)</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Amortization of reacquired franchise agreements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(3,964)</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(3,964)</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Loss on sale of transportation equipment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(2,266)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(2,266)</w:t>
            </w:r>
          </w:p>
        </w:tc>
      </w:tr>
      <w:tr>
        <w:trPr>
          <w:trHeight w:val="201"/>
        </w:trPr>
        <w:tc>
          <w:tcPr>
            <w:tcW w:w="4180" w:type="dxa"/>
            <w:vAlign w:val="bottom"/>
          </w:tcPr>
          <w:p>
            <w:pPr>
              <w:ind w:left="220"/>
              <w:spacing w:after="0"/>
              <w:rPr>
                <w:sz w:val="20"/>
                <w:szCs w:val="20"/>
                <w:color w:val="auto"/>
              </w:rPr>
            </w:pPr>
            <w:r>
              <w:rPr>
                <w:rFonts w:ascii="Arial" w:cs="Arial" w:eastAsia="Arial" w:hAnsi="Arial"/>
                <w:sz w:val="14"/>
                <w:szCs w:val="14"/>
                <w:color w:val="auto"/>
              </w:rPr>
              <w:t>Non cash ASC 842 expenses</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(656)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(548)</w:t>
            </w: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83"/>
        </w:trPr>
        <w:tc>
          <w:tcPr>
            <w:tcW w:w="4180" w:type="dxa"/>
            <w:vAlign w:val="bottom"/>
          </w:tcPr>
          <w:p>
            <w:pPr>
              <w:ind w:left="440"/>
              <w:spacing w:after="0"/>
              <w:rPr>
                <w:sz w:val="20"/>
                <w:szCs w:val="20"/>
                <w:color w:val="auto"/>
              </w:rPr>
            </w:pPr>
            <w:r>
              <w:rPr>
                <w:rFonts w:ascii="Arial" w:cs="Arial" w:eastAsia="Arial" w:hAnsi="Arial"/>
                <w:sz w:val="14"/>
                <w:szCs w:val="14"/>
                <w:color w:val="auto"/>
              </w:rPr>
              <w:t>Total</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(10,638)</w:t>
            </w:r>
          </w:p>
        </w:tc>
        <w:tc>
          <w:tcPr>
            <w:tcW w:w="100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(8,683)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(24,734)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(44,055)</w:t>
            </w: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01"/>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left="388"/>
              <w:spacing w:after="0"/>
              <w:rPr>
                <w:sz w:val="20"/>
                <w:szCs w:val="20"/>
                <w:color w:val="auto"/>
              </w:rPr>
            </w:pPr>
            <w:r>
              <w:rPr>
                <w:rFonts w:ascii="Arial" w:cs="Arial" w:eastAsia="Arial" w:hAnsi="Arial"/>
                <w:sz w:val="14"/>
                <w:szCs w:val="14"/>
                <w:color w:val="auto"/>
                <w:w w:val="99"/>
              </w:rPr>
              <w:t>Roto-</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0"/>
              </w:rPr>
              <w:t>Chemed</w:t>
            </w:r>
          </w:p>
        </w:tc>
      </w:tr>
      <w:tr>
        <w:trPr>
          <w:trHeight w:val="201"/>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VITAS</w:t>
            </w:r>
          </w:p>
        </w:tc>
        <w:tc>
          <w:tcPr>
            <w:tcW w:w="80" w:type="dxa"/>
            <w:vAlign w:val="bottom"/>
          </w:tcPr>
          <w:p>
            <w:pPr>
              <w:spacing w:after="0"/>
              <w:rPr>
                <w:sz w:val="17"/>
                <w:szCs w:val="17"/>
                <w:color w:val="auto"/>
              </w:rPr>
            </w:pPr>
          </w:p>
        </w:tc>
        <w:tc>
          <w:tcPr>
            <w:tcW w:w="920" w:type="dxa"/>
            <w:vAlign w:val="bottom"/>
          </w:tcPr>
          <w:p>
            <w:pPr>
              <w:jc w:val="center"/>
              <w:ind w:left="388"/>
              <w:spacing w:after="0"/>
              <w:rPr>
                <w:sz w:val="20"/>
                <w:szCs w:val="20"/>
                <w:color w:val="auto"/>
              </w:rPr>
            </w:pPr>
            <w:r>
              <w:rPr>
                <w:rFonts w:ascii="Arial" w:cs="Arial" w:eastAsia="Arial" w:hAnsi="Arial"/>
                <w:sz w:val="14"/>
                <w:szCs w:val="14"/>
                <w:color w:val="auto"/>
                <w:w w:val="90"/>
              </w:rPr>
              <w:t>Rooter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Corporate</w:t>
            </w: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2"/>
              </w:rPr>
              <w:t>Consolidated</w:t>
            </w:r>
          </w:p>
        </w:tc>
      </w:tr>
      <w:tr>
        <w:trPr>
          <w:trHeight w:val="211"/>
        </w:trPr>
        <w:tc>
          <w:tcPr>
            <w:tcW w:w="4180" w:type="dxa"/>
            <w:vAlign w:val="bottom"/>
          </w:tcPr>
          <w:p>
            <w:pPr>
              <w:spacing w:after="0"/>
              <w:rPr>
                <w:sz w:val="20"/>
                <w:szCs w:val="20"/>
                <w:color w:val="auto"/>
              </w:rPr>
            </w:pPr>
            <w:r>
              <w:rPr>
                <w:rFonts w:ascii="Arial" w:cs="Arial" w:eastAsia="Arial" w:hAnsi="Arial"/>
                <w:sz w:val="14"/>
                <w:szCs w:val="14"/>
                <w:color w:val="auto"/>
              </w:rPr>
              <w:t>After-tax benefit/(cost):</w:t>
            </w:r>
          </w:p>
        </w:tc>
        <w:tc>
          <w:tcPr>
            <w:tcW w:w="1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Excess tax benefits on stock compensation</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24,177</w:t>
            </w:r>
          </w:p>
        </w:tc>
        <w:tc>
          <w:tcPr>
            <w:tcW w:w="160" w:type="dxa"/>
            <w:vAlign w:val="bottom"/>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24,177</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Stock option expense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(12,237)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(12,237)</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Long-term incentive compensation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(6,440)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(6,440)</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Litigation settlements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(4,476)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(4,476)</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Acquisition expenses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(3,429)</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(3,557)</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Medicare cap sequestration adjustment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(2,965)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(2,965)</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Amortization of reacquired franchise agreements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(2,913)</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(2,913)</w:t>
            </w: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Loss on sale of transportation equipment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(1,733)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(1,733)</w:t>
            </w:r>
          </w:p>
        </w:tc>
      </w:tr>
      <w:tr>
        <w:trPr>
          <w:trHeight w:val="201"/>
        </w:trPr>
        <w:tc>
          <w:tcPr>
            <w:tcW w:w="4180" w:type="dxa"/>
            <w:vAlign w:val="bottom"/>
          </w:tcPr>
          <w:p>
            <w:pPr>
              <w:ind w:left="220"/>
              <w:spacing w:after="0"/>
              <w:rPr>
                <w:sz w:val="20"/>
                <w:szCs w:val="20"/>
                <w:color w:val="auto"/>
              </w:rPr>
            </w:pPr>
            <w:r>
              <w:rPr>
                <w:rFonts w:ascii="Arial" w:cs="Arial" w:eastAsia="Arial" w:hAnsi="Arial"/>
                <w:sz w:val="14"/>
                <w:szCs w:val="14"/>
                <w:color w:val="auto"/>
              </w:rPr>
              <w:t>Non cash ASC 842 expenses</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w:t>
            </w: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83"/>
        </w:trPr>
        <w:tc>
          <w:tcPr>
            <w:tcW w:w="4180" w:type="dxa"/>
            <w:vAlign w:val="bottom"/>
          </w:tcPr>
          <w:p>
            <w:pPr>
              <w:ind w:left="440"/>
              <w:spacing w:after="0"/>
              <w:rPr>
                <w:sz w:val="20"/>
                <w:szCs w:val="20"/>
                <w:color w:val="auto"/>
              </w:rPr>
            </w:pPr>
            <w:r>
              <w:rPr>
                <w:rFonts w:ascii="Arial" w:cs="Arial" w:eastAsia="Arial" w:hAnsi="Arial"/>
                <w:sz w:val="14"/>
                <w:szCs w:val="14"/>
                <w:color w:val="auto"/>
              </w:rPr>
              <w:t>Total</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(7,931)</w:t>
            </w:r>
          </w:p>
        </w:tc>
        <w:tc>
          <w:tcPr>
            <w:tcW w:w="100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(6,382)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3,763</w:t>
            </w:r>
          </w:p>
        </w:tc>
        <w:tc>
          <w:tcPr>
            <w:tcW w:w="160" w:type="dxa"/>
            <w:vAlign w:val="bottom"/>
          </w:tcPr>
          <w:p>
            <w:pPr>
              <w:spacing w:after="0"/>
              <w:rPr>
                <w:sz w:val="15"/>
                <w:szCs w:val="15"/>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(10,550)</w:t>
            </w: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6" w:name="page77"/>
    <w:bookmarkEnd w:id="76"/>
    <w:p>
      <w:pPr>
        <w:ind w:right="2320"/>
        <w:spacing w:after="0" w:line="438" w:lineRule="auto"/>
        <w:rPr>
          <w:sz w:val="20"/>
          <w:szCs w:val="20"/>
          <w:color w:val="auto"/>
        </w:rPr>
      </w:pPr>
      <w:r>
        <w:rPr>
          <w:rFonts w:ascii="Arial" w:cs="Arial" w:eastAsia="Arial" w:hAnsi="Arial"/>
          <w:sz w:val="18"/>
          <w:szCs w:val="18"/>
          <w:color w:val="auto"/>
        </w:rPr>
        <w:t xml:space="preserve">MANAGEMENT’S DISCUSSION AND ANALYSIS OF FINANCIAL CONDITION AND RESULTS OF OPERATIONS </w:t>
      </w:r>
      <w:r>
        <w:rPr>
          <w:rFonts w:ascii="Arial" w:cs="Arial" w:eastAsia="Arial" w:hAnsi="Arial"/>
          <w:sz w:val="18"/>
          <w:szCs w:val="18"/>
          <w:b w:val="1"/>
          <w:bCs w:val="1"/>
          <w:color w:val="auto"/>
        </w:rPr>
        <w:t>EXECUTIVE SUMMARY</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operate through our two wholly owned subsidiaries: VITAS Healthcare Corporation (“VITAS”) and Roto-Rooter Group, Inc. (“Roto-Rooter”). VITAS focuses on hospice care that helps make terminally ill patients' final days as comfortable as possible. Through its team of doctors, nurses, home health aides, social workers, clergy and volunteers, VITAS provides direct medical services to patients, as well as spiritual and emotional counseling to both patients and their families. Roto-Rooter is focused on providing plumbing, drain cleaning, water restoration and other related services to both residential and commercial customers. Through its network of company-owned branches, independent contractors and franchisees, Roto-Rooter offers plumbing and drain cleaning service to approximately 90% of the U.S. population.</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following is a summary of the key operating results for the years ended December 31, 2021, 2020 and 2019 (in thousands except percentages and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6"/>
                <w:szCs w:val="16"/>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6"/>
                <w:szCs w:val="16"/>
                <w:color w:val="auto"/>
              </w:rPr>
              <w:t>Consolidated service revenues and sales</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2,139,261</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2,079,583</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1,938,555</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268,550</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319,466</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219,923</w:t>
            </w:r>
          </w:p>
        </w:tc>
        <w:tc>
          <w:tcPr>
            <w:tcW w:w="140" w:type="dxa"/>
            <w:vAlign w:val="bottom"/>
          </w:tcPr>
          <w:p>
            <w:pPr>
              <w:spacing w:after="0"/>
              <w:rPr>
                <w:sz w:val="18"/>
                <w:szCs w:val="18"/>
                <w:color w:val="auto"/>
              </w:rPr>
            </w:pPr>
          </w:p>
        </w:tc>
      </w:tr>
      <w:tr>
        <w:trPr>
          <w:trHeight w:val="260"/>
        </w:trPr>
        <w:tc>
          <w:tcPr>
            <w:tcW w:w="6200" w:type="dxa"/>
            <w:vAlign w:val="bottom"/>
          </w:tcPr>
          <w:p>
            <w:pPr>
              <w:spacing w:after="0"/>
              <w:rPr>
                <w:sz w:val="20"/>
                <w:szCs w:val="20"/>
                <w:color w:val="auto"/>
              </w:rPr>
            </w:pPr>
            <w:r>
              <w:rPr>
                <w:rFonts w:ascii="Arial" w:cs="Arial" w:eastAsia="Arial" w:hAnsi="Arial"/>
                <w:sz w:val="16"/>
                <w:szCs w:val="16"/>
                <w:color w:val="auto"/>
              </w:rPr>
              <w:t>Diluted EPS</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16.85</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19.48</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13.31</w:t>
            </w:r>
          </w:p>
        </w:tc>
        <w:tc>
          <w:tcPr>
            <w:tcW w:w="140" w:type="dxa"/>
            <w:vAlign w:val="bottom"/>
          </w:tcPr>
          <w:p>
            <w:pPr>
              <w:spacing w:after="0"/>
              <w:rPr>
                <w:sz w:val="22"/>
                <w:szCs w:val="22"/>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Adjusted net income</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308,007</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296,413</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230,473</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Adjusted diluted EPS</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19.33</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18.08</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13.95</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461,414</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444,823</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350,927</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Adjusted EBITDA as a % of revenue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21.6</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18.1 %</w:t>
            </w:r>
          </w:p>
        </w:tc>
      </w:tr>
    </w:tbl>
    <w:p>
      <w:pPr>
        <w:spacing w:after="0" w:line="14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Adjusted net income, adjusted diluted EPS, earnings before interest, taxes and depreciation and amortization (“EBITDA”) and Adjusted EBITDA are not measures derived in accordance with GAAP. We use Adjusted EPS as a measure of earnings for certain long-term incentive awards. We use adjusted EBITDA to determine compliance with certain debt covenants. We provide non-GAAP measures to help readers evaluate our operating results and compare our operating performance with that of similar companies that have different capital structures. Our non-GAAP measures should not be considered in isolation or as a substitute for comparable measures presented in accordance with GAAP. Reconciliations of our non-GAAP measures are presented in tables following the Critical Accounting Policies section.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versus 2020</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increase in consolidated service revenues and sales from 2020 to 2021 was a result of a 17.9% increase at Roto-Rooter offset by a 5.5% decrease at VITAS. The increase in service revenues at Roto-Rooter was driven by an increase in all major service lines. The decrease in service revenues at VITAS is comprised primarily of a 5.7% decrease in days-of-care, a 1.7% decrease in acuity mix shift offset by a 1.7% increase in geographically weighted reimbursement rates. The combination of a lower Medicare cap revenue reduction and other contra revenue changes offset a portion of the revenue decline by approximately 20 basis points.</w:t>
      </w:r>
    </w:p>
    <w:p>
      <w:pPr>
        <w:spacing w:after="0" w:line="151"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6"/>
          <w:szCs w:val="16"/>
          <w:color w:val="auto"/>
        </w:rPr>
        <w:t>We are closely monitoring the impact of the pandemic on all aspects of our business including impacts to employees, customers, patients, suppliers and vendors. 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To date, we have seen shifts in demand and mix of services, changes in referral patterns, an increase in usage and reliance on our technology infrastructure, difficulties hiring and retaining workforce and vaccine mandates imposed on our frontline healthcare workers, among other changes.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3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Chemed and its subsidiaries had deferred $36.4 million of certain employer payroll taxes as permitted by the CARES Act during 2020. $18.2 million was paid during 2021 and the remaining $18.2 million is in other current liabilities.</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period from May 1, 2020 through March 31, 2022, the 2% Medicare sequestration reimbursement cut was suspended. For the year ended December 31, 2021, approximately $23.9 million was recognized as revenue due to the suspension of sequestration. Sequestration will be phased back into place at 1% from April 1, 2022 to June 30, 2022 and the full 2% thereafter.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2020 versus 2019</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increase in consolidated service revenues and sales from 2019 to 2020 was a result of a 13.3% increase at Roto-Rooter and a 4.2% increase at VITAS. The increase in service revenues at Roto-Rooter was driven by an increase in all major service lines. The increase in service revenues at VITAS is comprised primarily of a 4.5% geographically weighted average Medicare reimbursement rate increase, a 1.0% increase in days of care, $6.7 million in Medicare cap revenue reduction (compared to $12.4 million for 2019), and acuity mix shift.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COVID-19 pandemic had a material impact on our results of operations, cash flow and financial position for 2020.</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Chemed and its subsidiaries as a result of specific provisions of the CARES Act:</w:t>
      </w:r>
    </w:p>
    <w:p>
      <w:pPr>
        <w:spacing w:after="0" w:line="138"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A portion of the CARES Act provides $100 billion from the Public Health and Social Services Emergency Fund (“Relief Fund”) to healthcare providers on the front lines of the coronavirus response. Of this distribution, $30 billion was designated to be automatically distributed to facilities and healthcare providers based upon their 2019 Medicare fee-for-service revenue.</w:t>
      </w:r>
    </w:p>
    <w:p>
      <w:pPr>
        <w:spacing w:after="0" w:line="1"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On April 10, 2020 VITAS received $80.2 million from the Relief Fund based upon VITAS’s 2019 Medicare fee-for-service revenue. The main condition that is attached to the grant is that the money will be used “only for health care related expenses or lost revenues that are attributable to coronavirus”. HHS guidance does not specifically designate what healthcare expenses are related to COVID-19. The guidance to date is general and broad but does provide some examples such as equipment and supplies, workforce training, reporting COVID-19 test results, securing separate facilities for COVID-19 patients and acquiring additional resources to expand or preserve care delivery. VITAS has cared for approximately 5,700 COVID positive patients through December 31, 2020.</w:t>
      </w:r>
    </w:p>
    <w:p>
      <w:pPr>
        <w:spacing w:after="0" w:line="1" w:lineRule="exact"/>
        <w:rPr>
          <w:sz w:val="20"/>
          <w:szCs w:val="20"/>
          <w:color w:val="auto"/>
        </w:rPr>
      </w:pPr>
    </w:p>
    <w:p>
      <w:pPr>
        <w:jc w:val="both"/>
        <w:ind w:left="660"/>
        <w:spacing w:after="0" w:line="232" w:lineRule="auto"/>
        <w:rPr>
          <w:sz w:val="20"/>
          <w:szCs w:val="20"/>
          <w:color w:val="auto"/>
        </w:rPr>
      </w:pPr>
      <w:r>
        <w:rPr>
          <w:rFonts w:ascii="Arial" w:cs="Arial" w:eastAsia="Arial" w:hAnsi="Arial"/>
          <w:sz w:val="17"/>
          <w:szCs w:val="17"/>
          <w:color w:val="auto"/>
        </w:rPr>
        <w:t>The additional conditions to the Relief Fund payment are specific in nature, such as the money cannot be used for gun control advocacy purposes, abortions, embryo research, etc. The Company is in compliance, and intends to maintain compliance, with these specific conditions. Based on this analysis, management believes that there is reasonable assurance that VITAS will comply with the conditions.</w:t>
      </w:r>
    </w:p>
    <w:p>
      <w:pPr>
        <w:jc w:val="both"/>
        <w:ind w:left="660" w:right="20"/>
        <w:spacing w:after="0" w:line="219" w:lineRule="auto"/>
        <w:rPr>
          <w:sz w:val="20"/>
          <w:szCs w:val="20"/>
          <w:color w:val="auto"/>
        </w:rPr>
      </w:pPr>
      <w:r>
        <w:rPr>
          <w:rFonts w:ascii="Arial" w:cs="Arial" w:eastAsia="Arial" w:hAnsi="Arial"/>
          <w:sz w:val="18"/>
          <w:szCs w:val="18"/>
          <w:color w:val="auto"/>
        </w:rPr>
        <w:t>Chemed and its subsidiaries have deferred $36.4 million of certain employer payroll taxes as permitted by the CARES Act. $18.2 million is classified as a short-term liability and $18.2 million is classified as long-term liability.</w:t>
      </w:r>
    </w:p>
    <w:p>
      <w:pPr>
        <w:jc w:val="both"/>
        <w:ind w:left="660"/>
        <w:spacing w:after="0" w:line="255" w:lineRule="auto"/>
        <w:rPr>
          <w:sz w:val="20"/>
          <w:szCs w:val="20"/>
          <w:color w:val="auto"/>
        </w:rPr>
      </w:pPr>
      <w:r>
        <w:rPr>
          <w:rFonts w:ascii="Arial" w:cs="Arial" w:eastAsia="Arial" w:hAnsi="Arial"/>
          <w:sz w:val="17"/>
          <w:szCs w:val="17"/>
          <w:color w:val="auto"/>
        </w:rPr>
        <w:t>During the period from May 1, 2020 through December 31, 2020, the 2% Medicare sequestration reimbursement cut is suspended. For the year ended December 31, 2020 approximately $16.8 million was recognized as revenue due to the suspension of sequestration.</w:t>
      </w:r>
    </w:p>
    <w:p>
      <w:pPr>
        <w:spacing w:after="0" w:line="9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All CARES Act funds received were fully recognized during the year ended December 31, 2020. The Company analogized to International Accounting Standard 20 – </w:t>
      </w:r>
      <w:r>
        <w:rPr>
          <w:rFonts w:ascii="Arial" w:cs="Arial" w:eastAsia="Arial" w:hAnsi="Arial"/>
          <w:sz w:val="18"/>
          <w:szCs w:val="18"/>
          <w:i w:val="1"/>
          <w:iCs w:val="1"/>
          <w:color w:val="auto"/>
        </w:rPr>
        <w:t>Accounting for Government Grants and Disclosures</w:t>
      </w:r>
      <w:r>
        <w:rPr>
          <w:rFonts w:ascii="Arial" w:cs="Arial" w:eastAsia="Arial" w:hAnsi="Arial"/>
          <w:sz w:val="18"/>
          <w:szCs w:val="18"/>
          <w:color w:val="auto"/>
        </w:rPr>
        <w:t xml:space="preserve"> (“IAS 20”) to account for the CARES Act grant received. Under IAS 20, once it is reasonably assured that the entity will comply with the conditions of the grant, the grant money should be recognized on a systematic basis over the periods in which the entity recognizes the related expenses or lost revenue. The portal to report utilization of CARES Act funds opened on July 1, 2021. We completed our reporting by the September 30, 2021 deadline.</w:t>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amount recognized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Lost revenue</w:t>
            </w:r>
          </w:p>
        </w:tc>
        <w:tc>
          <w:tcPr>
            <w:tcW w:w="2120" w:type="dxa"/>
            <w:vAlign w:val="bottom"/>
          </w:tcPr>
          <w:p>
            <w:pPr>
              <w:jc w:val="right"/>
              <w:ind w:right="1968"/>
              <w:spacing w:after="0"/>
              <w:rPr>
                <w:sz w:val="20"/>
                <w:szCs w:val="20"/>
                <w:color w:val="auto"/>
              </w:rPr>
            </w:pPr>
            <w:r>
              <w:rPr>
                <w:rFonts w:ascii="Arial" w:cs="Arial" w:eastAsia="Arial" w:hAnsi="Arial"/>
                <w:sz w:val="14"/>
                <w:szCs w:val="14"/>
                <w:b w:val="1"/>
                <w:bCs w:val="1"/>
                <w:color w:val="auto"/>
                <w:w w:val="76"/>
              </w:rPr>
              <w:t>$</w:t>
            </w: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44,784</w:t>
            </w:r>
          </w:p>
        </w:tc>
      </w:tr>
      <w:tr>
        <w:trPr>
          <w:trHeight w:val="229"/>
        </w:trPr>
        <w:tc>
          <w:tcPr>
            <w:tcW w:w="6640" w:type="dxa"/>
            <w:vAlign w:val="bottom"/>
          </w:tcPr>
          <w:p>
            <w:pPr>
              <w:spacing w:after="0"/>
              <w:rPr>
                <w:sz w:val="20"/>
                <w:szCs w:val="20"/>
                <w:color w:val="auto"/>
              </w:rPr>
            </w:pPr>
            <w:r>
              <w:rPr>
                <w:rFonts w:ascii="Arial" w:cs="Arial" w:eastAsia="Arial" w:hAnsi="Arial"/>
                <w:sz w:val="16"/>
                <w:szCs w:val="16"/>
                <w:color w:val="auto"/>
              </w:rPr>
              <w:t>Incremental PTO</w:t>
            </w:r>
          </w:p>
        </w:tc>
        <w:tc>
          <w:tcPr>
            <w:tcW w:w="2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21,425</w:t>
            </w: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Hard costs</w:t>
            </w:r>
          </w:p>
        </w:tc>
        <w:tc>
          <w:tcPr>
            <w:tcW w:w="2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14,016</w:t>
            </w:r>
          </w:p>
        </w:tc>
      </w:tr>
      <w:tr>
        <w:trPr>
          <w:trHeight w:val="196"/>
        </w:trPr>
        <w:tc>
          <w:tcPr>
            <w:tcW w:w="6640" w:type="dxa"/>
            <w:vAlign w:val="bottom"/>
          </w:tcPr>
          <w:p>
            <w:pPr>
              <w:ind w:left="220"/>
              <w:spacing w:after="0"/>
              <w:rPr>
                <w:sz w:val="20"/>
                <w:szCs w:val="20"/>
                <w:color w:val="auto"/>
              </w:rPr>
            </w:pPr>
            <w:r>
              <w:rPr>
                <w:rFonts w:ascii="Arial" w:cs="Arial" w:eastAsia="Arial" w:hAnsi="Arial"/>
                <w:sz w:val="16"/>
                <w:szCs w:val="16"/>
                <w:color w:val="auto"/>
              </w:rPr>
              <w:t>Other operating income</w:t>
            </w:r>
          </w:p>
        </w:tc>
        <w:tc>
          <w:tcPr>
            <w:tcW w:w="2120" w:type="dxa"/>
            <w:vAlign w:val="bottom"/>
            <w:tcBorders>
              <w:bottom w:val="single" w:sz="8" w:color="auto"/>
            </w:tcBorders>
          </w:tcPr>
          <w:p>
            <w:pPr>
              <w:jc w:val="right"/>
              <w:ind w:right="1968"/>
              <w:spacing w:after="0"/>
              <w:rPr>
                <w:sz w:val="20"/>
                <w:szCs w:val="20"/>
                <w:color w:val="auto"/>
              </w:rPr>
            </w:pPr>
            <w:r>
              <w:rPr>
                <w:rFonts w:ascii="Arial" w:cs="Arial" w:eastAsia="Arial" w:hAnsi="Arial"/>
                <w:sz w:val="14"/>
                <w:szCs w:val="14"/>
                <w:b w:val="1"/>
                <w:bCs w:val="1"/>
                <w:color w:val="auto"/>
                <w:w w:val="76"/>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80,225</w:t>
            </w:r>
          </w:p>
        </w:tc>
      </w:tr>
      <w:tr>
        <w:trPr>
          <w:trHeight w:val="20"/>
        </w:trPr>
        <w:tc>
          <w:tcPr>
            <w:tcW w:w="6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Hard costs are primarily expenses paid to outside vendors for personal protection equipment, COVID testing for front line workers, and deep cleaning of in-patient facilities. In April, VITAS provided an extra two weeks of paid time off (“PTO”) to all frontline workers.</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year ended December 31, 2020, VITAS recognized $44.8 million for estimated lost revenue as a result of the pandemic. The December 27, 2020 COVID-19 relief bill gave providers multiple options to calculate lost revenue including budget to actual comparisons or other systematic methods of calculation. We calculated lost revenue using the budget to actual method. Our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8" w:name="page79"/>
    <w:bookmarkEnd w:id="78"/>
    <w:p>
      <w:pPr>
        <w:jc w:val="both"/>
        <w:spacing w:after="0" w:line="246" w:lineRule="auto"/>
        <w:rPr>
          <w:sz w:val="20"/>
          <w:szCs w:val="20"/>
          <w:color w:val="auto"/>
        </w:rPr>
      </w:pPr>
      <w:r>
        <w:rPr>
          <w:rFonts w:ascii="Arial" w:cs="Arial" w:eastAsia="Arial" w:hAnsi="Arial"/>
          <w:sz w:val="18"/>
          <w:szCs w:val="18"/>
          <w:color w:val="auto"/>
        </w:rPr>
        <w:t>2020 budget was compiled, reviewed and approved prior to the start of the pandemic. Lost revenues for 2020 based on our calculation was $61.4 million, however only $44.8 million was recognized for use under the grant received.</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All CARES Act funds received have been fully recognized as of December 31, 2020. However, the rules concerning utilization of the funds continue to evolve and we will continue to comply with those applicable to us. The portal to report utilization of CARES Act funds opened on July 1, 2021. We completed our reporting by the September 30, 2021 deadline.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Current Market Conditions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Historically, Chemed earnings guidance has been developed using previous years’ key operating metrics which are then modeled and projected out for the calendar year. Critical within these projections is the understanding of traditional patterned correlations among key operating metrics. This modeling exercise also takes into consideration anticipated industry and macro-economic issues outside of management’s control but are somewhat predictable in terms of timing and impact on our business segments’ operating results.</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COVID-19 pandemic has made accurate modeling and providing meaningful earnings guidance exceptionally challenging. Since the start of the pandemic, Chemed has been able to successfully navigate within this rapidly changing environment and produce operating results that we believe provide us with the ability to issue earnings guidance for the 2022 calendar year. However, this guidance should be taken with the recognition the pandemic will continue to disrupt our healthcare system and general economy to such an extent that future rules, regulations and government mandates could materially impact the company’s ability to achieve this guidance.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Statistically, patients residing in senior housing are identified as hospice appropriate earlier into their terminal prognosis and have a much greater probability of having a length of stay in excess of 90 days. Hospice patients referred from hospitals, oncology practices and similar referral sources are generally more acute and have a significantly lower probability of lengths-of-stay exceeding 90 days. According to data released by the National Investment Center for Seniors Housing &amp; Care, COVID-19 continues to adversely affect senior housing occupancy. This reduced occupancy in senior housing has had a corresponding reduction in VITAS nursing home admissions. Nursing home patients represented 15.6% of VITAS’ fourth-quarter 2021 patient census. This compares to nursing home patients averaging 18.2% of total census just prior to the pandemic.</w:t>
      </w:r>
    </w:p>
    <w:p>
      <w:pPr>
        <w:spacing w:after="0" w:line="1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 November 2021 article in US News and World Report estimated that approximately 20% of all health care workers in the US have left the industry since the start of the pandemic. This shortage of licensed healthcare workers will generate short-term to medium-term pressure on VITAS’ labor costs and related margins.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Medicare hospice reimbursement rate increases are based on a government formula that utilizes the Bureau of Labor and Statistics’ measurement of healthcare wage inflation reflected in the hospital wage index basket. However, this formulaic methodology is based upon healthcare wage inflation and increased CPI measured from April 1 through March 31 to determine the following October 1 reimbursement rates. This methodology effectively delays actual wage inflation from impacting hospice reimbursement by 12 to 18 months.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VITAS anticipates that senior housing will continue to have weak occupancy rates at least through the first half of 2022. Accordingly, VITAS anticipates senior housing hospice referrals will not have meaningful growth until the second half of 2022. Labor cost increases and related margin pressure are anticipated to continue through all of 2022 with some moderation starting with the next reimbursement increase on October 1, 2022.</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Based upon the above discussion, VITAS 2022 revenue, prior to Medicare Cap, is estimated to decline 1.5% to 2.5% when compared to 2021. A portion of the estimated revenue reduction, approximately $15 million, is the result of the phase out of sequestration relief over the first half of 2022 compared to a full year of sequestration relief in 2021. ADC is estimated to decline 1.0% to 1.5%. Full year adjusted EBITDA margin, prior to Medicare Cap, is estimated to be 15.5% to 16.0%. We are currently estimating $12 million for Medicare Cap billing limitations in calendar year 2022.</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Roto-Rooter is forecasted to achieve full-year 2022 revenue growth of 8.0% to 9.5%. Roto-Rooter’s adjusted EBITDA margin for 2022 is expected to be 28.5% to 29.5%.</w:t>
      </w:r>
    </w:p>
    <w:p>
      <w:pPr>
        <w:spacing w:after="0" w:line="17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Based upon the above, full-year 2022 earnings per diluted share, excluding non-cash expense for stock options, tax benefits from stock option exercises, costs related to litigation and other discrete items, is estimated to be in the range of $19.10 to $19.50. This 2022 guidance assumes an effective corporate tax rate on adjusted earnings of 25.1% and a diluted share count of 15.25 million shares. Chemed’s 2021 reported adjusted earnings per diluted share was $19.33.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factors affecting our cash flows during 2021 and financial position at December 31, 2021, include the following:</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operations generated cash of $308.6 million.</w:t>
      </w:r>
    </w:p>
    <w:p>
      <w:pPr>
        <w:ind w:left="980"/>
        <w:spacing w:after="0" w:line="219" w:lineRule="auto"/>
        <w:rPr>
          <w:sz w:val="20"/>
          <w:szCs w:val="20"/>
          <w:color w:val="auto"/>
        </w:rPr>
      </w:pPr>
      <w:r>
        <w:rPr>
          <w:rFonts w:ascii="Arial" w:cs="Arial" w:eastAsia="Arial" w:hAnsi="Arial"/>
          <w:sz w:val="18"/>
          <w:szCs w:val="18"/>
          <w:color w:val="auto"/>
        </w:rPr>
        <w:t>We repurchased $576.0 million of our stock.</w:t>
      </w:r>
    </w:p>
    <w:p>
      <w:pPr>
        <w:ind w:left="980"/>
        <w:spacing w:after="0" w:line="219" w:lineRule="auto"/>
        <w:rPr>
          <w:sz w:val="20"/>
          <w:szCs w:val="20"/>
          <w:color w:val="auto"/>
        </w:rPr>
      </w:pPr>
      <w:r>
        <w:rPr>
          <w:rFonts w:ascii="Arial" w:cs="Arial" w:eastAsia="Arial" w:hAnsi="Arial"/>
          <w:sz w:val="18"/>
          <w:szCs w:val="18"/>
          <w:color w:val="auto"/>
        </w:rPr>
        <w:t>We spent $58.7 million on capital expenditures.</w:t>
      </w:r>
    </w:p>
    <w:p>
      <w:pPr>
        <w:ind w:left="980"/>
        <w:spacing w:after="0" w:line="219" w:lineRule="auto"/>
        <w:rPr>
          <w:sz w:val="20"/>
          <w:szCs w:val="20"/>
          <w:color w:val="auto"/>
        </w:rPr>
      </w:pPr>
      <w:r>
        <w:rPr>
          <w:rFonts w:ascii="Arial" w:cs="Arial" w:eastAsia="Arial" w:hAnsi="Arial"/>
          <w:sz w:val="18"/>
          <w:szCs w:val="18"/>
          <w:color w:val="auto"/>
        </w:rPr>
        <w:t>We paid $22.0 million in dividends.</w:t>
      </w:r>
    </w:p>
    <w:p>
      <w:pPr>
        <w:ind w:left="980"/>
        <w:spacing w:after="0"/>
        <w:rPr>
          <w:sz w:val="20"/>
          <w:szCs w:val="20"/>
          <w:color w:val="auto"/>
        </w:rPr>
      </w:pPr>
      <w:r>
        <w:rPr>
          <w:rFonts w:ascii="Arial" w:cs="Arial" w:eastAsia="Arial" w:hAnsi="Arial"/>
          <w:sz w:val="18"/>
          <w:szCs w:val="18"/>
          <w:color w:val="auto"/>
        </w:rPr>
        <w:t>We borrowed $185.0 million of long-term debt from our existing credit agreement.</w:t>
      </w:r>
    </w:p>
    <w:p>
      <w:pPr>
        <w:spacing w:after="0" w:line="15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ratio of total debt to total capital was 22.9% at December 31, 2021. The Company had no debt outstanding at December 31, 2020. Our current ratio was 0.76 and 1.10 at December 31, 2021 and 2020, respectively.</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On June 20, 2018, we replaced our existing credit agreement with the Fourth Amended and Restated Credit Agreement (“2018 Credit Agreement”). Terms of the 2018 Credit Agreement consist of a five-year, $450 million revolving credit facility and a $150 million expansion feature, which may consist of term loans or additional revolving commitments. The interest rate at inception of the agreement is LIBOR plus 100 basis points. The 2018 Credit Agreement has a floating interest rate that is generally LIBOR plus a tiered additional rate which varies based on our current leverage ratio. For December 31, 2021 and 2020, respectively, the interest rate is LIBOR plus 100 basis points. The 2018 Credit Agreement includes transition provisions in the instance LIBOR is no longer published or used as an industry-accepted rate.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2018 Credit Agreement contains the following quarterly financial covenants effective as of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5"/>
              </w:rPr>
              <w:t>Chemed</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auto"/>
            </w:tcBorders>
          </w:tcPr>
          <w:p>
            <w:pPr>
              <w:ind w:left="3620"/>
              <w:spacing w:after="0"/>
              <w:rPr>
                <w:sz w:val="20"/>
                <w:szCs w:val="20"/>
                <w:color w:val="auto"/>
              </w:rPr>
            </w:pPr>
            <w:r>
              <w:rPr>
                <w:rFonts w:ascii="Arial" w:cs="Arial" w:eastAsia="Arial" w:hAnsi="Arial"/>
                <w:sz w:val="16"/>
                <w:szCs w:val="16"/>
                <w:color w:val="auto"/>
              </w:rPr>
              <w:t>Description</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Requirement</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December 31, 2021</w:t>
            </w:r>
          </w:p>
        </w:tc>
        <w:tc>
          <w:tcPr>
            <w:tcW w:w="0" w:type="dxa"/>
            <w:vAlign w:val="bottom"/>
          </w:tcPr>
          <w:p>
            <w:pPr>
              <w:spacing w:after="0"/>
              <w:rPr>
                <w:sz w:val="1"/>
                <w:szCs w:val="1"/>
                <w:color w:val="auto"/>
              </w:rPr>
            </w:pPr>
          </w:p>
        </w:tc>
      </w:tr>
      <w:tr>
        <w:trPr>
          <w:trHeight w:val="501"/>
        </w:trPr>
        <w:tc>
          <w:tcPr>
            <w:tcW w:w="8140" w:type="dxa"/>
            <w:vAlign w:val="bottom"/>
            <w:gridSpan w:val="2"/>
          </w:tcPr>
          <w:p>
            <w:pPr>
              <w:spacing w:after="0"/>
              <w:rPr>
                <w:sz w:val="20"/>
                <w:szCs w:val="20"/>
                <w:color w:val="auto"/>
              </w:rPr>
            </w:pPr>
            <w:r>
              <w:rPr>
                <w:rFonts w:ascii="Arial" w:cs="Arial" w:eastAsia="Arial" w:hAnsi="Arial"/>
                <w:sz w:val="16"/>
                <w:szCs w:val="16"/>
                <w:color w:val="auto"/>
              </w:rPr>
              <w:t>Leverage Ratio (Consolidated Indebtedness/Consolidated Adj. EBITDA)</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&lt; 3.50 to 1.00</w:t>
            </w: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0.52 to 1.00</w:t>
            </w:r>
          </w:p>
        </w:tc>
        <w:tc>
          <w:tcPr>
            <w:tcW w:w="0" w:type="dxa"/>
            <w:vAlign w:val="bottom"/>
          </w:tcPr>
          <w:p>
            <w:pPr>
              <w:spacing w:after="0"/>
              <w:rPr>
                <w:sz w:val="1"/>
                <w:szCs w:val="1"/>
                <w:color w:val="auto"/>
              </w:rPr>
            </w:pPr>
          </w:p>
        </w:tc>
      </w:tr>
      <w:tr>
        <w:trPr>
          <w:trHeight w:val="280"/>
        </w:trPr>
        <w:tc>
          <w:tcPr>
            <w:tcW w:w="8140" w:type="dxa"/>
            <w:vAlign w:val="bottom"/>
            <w:gridSpan w:val="2"/>
          </w:tcPr>
          <w:p>
            <w:pPr>
              <w:spacing w:after="0"/>
              <w:rPr>
                <w:sz w:val="20"/>
                <w:szCs w:val="20"/>
                <w:color w:val="auto"/>
              </w:rPr>
            </w:pPr>
            <w:r>
              <w:rPr>
                <w:rFonts w:ascii="Arial" w:cs="Arial" w:eastAsia="Arial" w:hAnsi="Arial"/>
                <w:sz w:val="16"/>
                <w:szCs w:val="16"/>
                <w:color w:val="auto"/>
              </w:rPr>
              <w:t>Fixed Charge Coverage Ratio (Consolidated Free Cash Flow/Consolidated</w:t>
            </w: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w w:val="91"/>
              </w:rPr>
              <w:t>&gt; 1.50 to 1.00</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2"/>
              </w:rPr>
              <w:t>3.12 to 1.00</w:t>
            </w:r>
          </w:p>
        </w:tc>
        <w:tc>
          <w:tcPr>
            <w:tcW w:w="0" w:type="dxa"/>
            <w:vAlign w:val="bottom"/>
          </w:tcPr>
          <w:p>
            <w:pPr>
              <w:spacing w:after="0"/>
              <w:rPr>
                <w:sz w:val="1"/>
                <w:szCs w:val="1"/>
                <w:color w:val="auto"/>
              </w:rPr>
            </w:pPr>
          </w:p>
        </w:tc>
      </w:tr>
      <w:tr>
        <w:trPr>
          <w:trHeight w:val="206"/>
        </w:trPr>
        <w:tc>
          <w:tcPr>
            <w:tcW w:w="8140" w:type="dxa"/>
            <w:vAlign w:val="bottom"/>
            <w:gridSpan w:val="2"/>
          </w:tcPr>
          <w:p>
            <w:pPr>
              <w:spacing w:after="0"/>
              <w:rPr>
                <w:sz w:val="20"/>
                <w:szCs w:val="20"/>
                <w:color w:val="auto"/>
              </w:rPr>
            </w:pPr>
            <w:r>
              <w:rPr>
                <w:rFonts w:ascii="Arial" w:cs="Arial" w:eastAsia="Arial" w:hAnsi="Arial"/>
                <w:sz w:val="16"/>
                <w:szCs w:val="16"/>
                <w:color w:val="auto"/>
              </w:rPr>
              <w:t>Fixed Charges</w:t>
            </w:r>
          </w:p>
        </w:tc>
        <w:tc>
          <w:tcPr>
            <w:tcW w:w="144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forecast to be in compliance with all debt covenants through fiscal 2022.</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have issued $46.2 million in standby letters of credit as of December 31, 2021, mainly for insurance purposes. Issued letters of credit reduce our available credit under the revolving credit agreement. As of December 31, 2021, we have approximately $218.8 million of unused lines of credit available and eligible to be drawn down under our revolving credit facility. We believe our cash flow from operating activities and our unused eligible lines of credit are sufficient to fund our obligations and operate our business in the near and long term. We continually evaluate cash utilization alternatives, including share repurchase, debt repayment, acquisitions, and increased dividends to determine the most beneficial use of available capital resources.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CASH FLOW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2021, 2020 and 2019 are summarized as follows (in millions):</w:t>
      </w:r>
    </w:p>
    <w:p>
      <w:pPr>
        <w:spacing w:after="0" w:line="270" w:lineRule="exact"/>
        <w:rPr>
          <w:sz w:val="20"/>
          <w:szCs w:val="20"/>
          <w:color w:val="auto"/>
        </w:rPr>
      </w:pPr>
    </w:p>
    <w:p>
      <w:pPr>
        <w:jc w:val="center"/>
        <w:ind w:left="6520"/>
        <w:spacing w:after="0"/>
        <w:rPr>
          <w:sz w:val="20"/>
          <w:szCs w:val="20"/>
          <w:color w:val="auto"/>
        </w:rPr>
      </w:pPr>
      <w:r>
        <w:rPr>
          <w:rFonts w:ascii="Arial" w:cs="Arial" w:eastAsia="Arial" w:hAnsi="Arial"/>
          <w:sz w:val="16"/>
          <w:szCs w:val="16"/>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635</wp:posOffset>
            </wp:positionV>
            <wp:extent cx="31889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8" w:lineRule="exact"/>
        <w:rPr>
          <w:sz w:val="20"/>
          <w:szCs w:val="20"/>
          <w:color w:val="auto"/>
        </w:rPr>
      </w:pPr>
    </w:p>
    <w:p>
      <w:pPr>
        <w:jc w:val="both"/>
        <w:ind w:left="7040"/>
        <w:spacing w:after="0"/>
        <w:tabs>
          <w:tab w:leader="none" w:pos="8700" w:val="left"/>
          <w:tab w:leader="none" w:pos="104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3175</wp:posOffset>
            </wp:positionV>
            <wp:extent cx="31889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cash provided for operating activities after capital expenditures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Purchase of treasury stock in the open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increase/(decrease) in long-term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exercise of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stock surrendered to pay taxes 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cash overdraft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(Decrease)/increase in cash and cash equivalents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308.6</w:t>
            </w:r>
          </w:p>
        </w:tc>
        <w:tc>
          <w:tcPr>
            <w:tcW w:w="8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489.3</w:t>
            </w:r>
          </w:p>
        </w:tc>
        <w:tc>
          <w:tcPr>
            <w:tcW w:w="18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301.2</w:t>
            </w:r>
          </w:p>
        </w:tc>
      </w:tr>
      <w:tr>
        <w:trPr>
          <w:trHeight w:val="195"/>
        </w:trPr>
        <w:tc>
          <w:tcPr>
            <w:tcW w:w="6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(58.7)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(58.8)</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17"/>
        </w:trPr>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430.5</w:t>
            </w: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248.2</w:t>
            </w:r>
          </w:p>
        </w:tc>
      </w:tr>
      <w:tr>
        <w:trPr>
          <w:trHeight w:val="216"/>
        </w:trPr>
        <w:tc>
          <w:tcPr>
            <w:tcW w:w="6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(576.0)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(175.6)</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(92.6)</w:t>
            </w:r>
          </w:p>
        </w:tc>
      </w:tr>
      <w:tr>
        <w:trPr>
          <w:trHeight w:val="216"/>
        </w:trPr>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(90.0)</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6"/>
        </w:trPr>
        <w:tc>
          <w:tcPr>
            <w:tcW w:w="6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(21.1)</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432"/>
        </w:trPr>
        <w:tc>
          <w:tcPr>
            <w:tcW w:w="6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(25.3)</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(9.8)</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6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(138.0)</w:t>
            </w:r>
          </w:p>
        </w:tc>
      </w:tr>
      <w:tr>
        <w:trPr>
          <w:trHeight w:val="195"/>
        </w:trPr>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(129.8)</w:t>
            </w:r>
          </w:p>
        </w:tc>
        <w:tc>
          <w:tcPr>
            <w:tcW w:w="80" w:type="dxa"/>
            <w:vAlign w:val="bottom"/>
          </w:tcPr>
          <w:p>
            <w:pPr>
              <w:spacing w:after="0"/>
              <w:rPr>
                <w:sz w:val="15"/>
                <w:szCs w:val="15"/>
                <w:color w:val="auto"/>
              </w:rPr>
            </w:pPr>
          </w:p>
        </w:tc>
        <w:tc>
          <w:tcPr>
            <w:tcW w:w="660" w:type="dxa"/>
            <w:vAlign w:val="bottom"/>
            <w:gridSpan w:val="2"/>
          </w:tcPr>
          <w:p>
            <w:pPr>
              <w:jc w:val="right"/>
              <w:ind w:right="48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156.5</w:t>
            </w:r>
          </w:p>
        </w:tc>
        <w:tc>
          <w:tcPr>
            <w:tcW w:w="180" w:type="dxa"/>
            <w:vAlign w:val="bottom"/>
          </w:tcPr>
          <w:p>
            <w:pPr>
              <w:spacing w:after="0"/>
              <w:rPr>
                <w:sz w:val="15"/>
                <w:szCs w:val="15"/>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500" w:space="720"/>
            <w:col w:w="5020"/>
          </w:cols>
          <w:pgMar w:left="320" w:top="297" w:right="3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2021 versus 2020</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Net cash provided by operating activities decreased $180.7 million from December 31, 2020 to December 31, 2021. The main driver of the decrease relates to decreased earnings of $50.9 million, a $33.9 million decrease in income taxes payable as well as by a $18.2 decrease in deferred payroll taxes. We deferred $36.4 million of payroll tax payments as permitted by the CARES Act in 2020. We repaid $18.2 million of these deferred payroll taxes in 2021. Additionally, significant changes in our accounts receivable balances are driven mainly by the timing of payments received from the Federal government at our VITAS subsidiary. We typically receive a payment in excess of $40.0 million from the Federal government from hospice services every other Friday. The timing of year end will have a significant impact on the accounts receivable at VITAS. These changes generally normalize over a two year period, as cash flow variations in one year are offset in the following year. The swing in accounts receivable reduced cash flow by $21.2 million between 2021 and 2020.</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2021, we repurchased 1,195,529 shares of Chemed capital stock at a weighted average price of $482.20 per share. In 2020, we repurchased approximately 384,552 shares of Chemed stock at a weighted average price of $456.98 per share. Based on our current operations and our current sources of capital, we believe we have the ability to continue our current share repurchase program into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versus 2019</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Net cash provided by operating activities increased $188.0 million from December 31, 2019 to December 31, 2020. The main driver of the increase relates to increased earnings which includes the receipt of $80.2 million in CARES Act grant funds. We deferred $36.4 million of payroll tax payments as permitted by the CARES Act. Additionally, significant changes in our accounts receivable balances are driven mainly by the timing of payments received from the Federal government at our VITAS subsidiary. We typically receive a payment in excess of $40.0 million from the Federal government from hospice services every other Friday. The timing of year end will have a significant impact on the accounts receivable at VITAS. These changes generally normalize over a two year period, as cash flow variations in one year are offset in the following year. The swing in accounts receivable improved cash flow by $32.0 million between 2020 and 2019.</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2020, we repurchased 384,252 shares of Chemed capital stock at a weighted average price of $456.98 per share. In 2019, we repurchased approximately 269,009 shares of Chemed stock at a weighted average price of $344.34 per share. Based on our current operations and our current sources of capital, we believe we have the ability to continue our current share repurchase program into the foreseeable future.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made two large acquisitions in 2019, the magnitude of which were not repeated in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disclose the existence of regulatory and legal actions when we believe it is reasonably possible that a loss could occur in connection with the specific action. In most instances, we are unable to make a reasonable estimate of any reasonably possible liability due to the uncertainty of the outcome and stage of litigation. We record legal fees associated with legal and regulatory actions as the costs are incurred.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17 in the Notes to the Consolidated Financial Statements for a description of current material legal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debt and contractual obligations as of December 31, 2021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auto"/>
              </w:rPr>
              <w:t>Less than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After</w:t>
            </w:r>
          </w:p>
        </w:tc>
      </w:tr>
      <w:tr>
        <w:trPr>
          <w:trHeight w:val="208"/>
        </w:trPr>
        <w:tc>
          <w:tcPr>
            <w:tcW w:w="3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 year</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 Years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 Years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 Years</w:t>
            </w:r>
          </w:p>
        </w:tc>
      </w:tr>
      <w:tr>
        <w:trPr>
          <w:trHeight w:val="231"/>
        </w:trPr>
        <w:tc>
          <w:tcPr>
            <w:tcW w:w="3160" w:type="dxa"/>
            <w:vAlign w:val="bottom"/>
          </w:tcPr>
          <w:p>
            <w:pPr>
              <w:spacing w:after="0"/>
              <w:rPr>
                <w:sz w:val="20"/>
                <w:szCs w:val="20"/>
                <w:color w:val="auto"/>
              </w:rPr>
            </w:pPr>
            <w:r>
              <w:rPr>
                <w:rFonts w:ascii="Arial" w:cs="Arial" w:eastAsia="Arial" w:hAnsi="Arial"/>
                <w:sz w:val="16"/>
                <w:szCs w:val="16"/>
                <w:color w:val="auto"/>
              </w:rPr>
              <w:t>Long-term debt obligations (a)</w:t>
            </w: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185,000</w:t>
            </w:r>
          </w:p>
        </w:tc>
        <w:tc>
          <w:tcPr>
            <w:tcW w:w="18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185,000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160" w:type="dxa"/>
            <w:vAlign w:val="bottom"/>
          </w:tcPr>
          <w:p>
            <w:pPr>
              <w:spacing w:after="0"/>
              <w:rPr>
                <w:sz w:val="20"/>
                <w:szCs w:val="20"/>
                <w:color w:val="auto"/>
              </w:rPr>
            </w:pPr>
            <w:r>
              <w:rPr>
                <w:rFonts w:ascii="Arial" w:cs="Arial" w:eastAsia="Arial" w:hAnsi="Arial"/>
                <w:sz w:val="16"/>
                <w:szCs w:val="16"/>
                <w:color w:val="auto"/>
              </w:rPr>
              <w:t>Interest on long-term debt</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160" w:type="dxa"/>
            <w:vAlign w:val="bottom"/>
          </w:tcPr>
          <w:p>
            <w:pPr>
              <w:spacing w:after="0"/>
              <w:rPr>
                <w:sz w:val="20"/>
                <w:szCs w:val="20"/>
                <w:color w:val="auto"/>
              </w:rPr>
            </w:pPr>
            <w:r>
              <w:rPr>
                <w:rFonts w:ascii="Arial" w:cs="Arial" w:eastAsia="Arial" w:hAnsi="Arial"/>
                <w:sz w:val="16"/>
                <w:szCs w:val="16"/>
                <w:color w:val="auto"/>
              </w:rPr>
              <w:t>Lease liabilities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138,542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37,896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56,291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15,345</w:t>
            </w:r>
          </w:p>
        </w:tc>
      </w:tr>
      <w:tr>
        <w:trPr>
          <w:trHeight w:val="230"/>
        </w:trPr>
        <w:tc>
          <w:tcPr>
            <w:tcW w:w="3160" w:type="dxa"/>
            <w:vAlign w:val="bottom"/>
          </w:tcPr>
          <w:p>
            <w:pPr>
              <w:spacing w:after="0"/>
              <w:rPr>
                <w:sz w:val="20"/>
                <w:szCs w:val="20"/>
                <w:color w:val="auto"/>
              </w:rPr>
            </w:pPr>
            <w:r>
              <w:rPr>
                <w:rFonts w:ascii="Arial" w:cs="Arial" w:eastAsia="Arial" w:hAnsi="Arial"/>
                <w:sz w:val="16"/>
                <w:szCs w:val="16"/>
                <w:color w:val="auto"/>
              </w:rPr>
              <w:t>Purchase obligations (b)</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73,024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73,024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160" w:type="dxa"/>
            <w:vAlign w:val="bottom"/>
          </w:tcPr>
          <w:p>
            <w:pPr>
              <w:spacing w:after="0"/>
              <w:rPr>
                <w:sz w:val="20"/>
                <w:szCs w:val="20"/>
                <w:color w:val="auto"/>
              </w:rPr>
            </w:pPr>
            <w:r>
              <w:rPr>
                <w:rFonts w:ascii="Arial" w:cs="Arial" w:eastAsia="Arial" w:hAnsi="Arial"/>
                <w:sz w:val="16"/>
                <w:szCs w:val="16"/>
                <w:color w:val="auto"/>
              </w:rPr>
              <w:t>Other long-term obligations (c)</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106,104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1,877</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3,754</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1,876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98,597</w:t>
            </w: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6"/>
        </w:trPr>
        <w:tc>
          <w:tcPr>
            <w:tcW w:w="3160" w:type="dxa"/>
            <w:vAlign w:val="bottom"/>
          </w:tcPr>
          <w:p>
            <w:pPr>
              <w:ind w:left="220"/>
              <w:spacing w:after="0"/>
              <w:rPr>
                <w:sz w:val="20"/>
                <w:szCs w:val="20"/>
                <w:color w:val="auto"/>
              </w:rPr>
            </w:pPr>
            <w:r>
              <w:rPr>
                <w:rFonts w:ascii="Arial" w:cs="Arial" w:eastAsia="Arial" w:hAnsi="Arial"/>
                <w:sz w:val="16"/>
                <w:szCs w:val="16"/>
                <w:color w:val="auto"/>
              </w:rPr>
              <w:t>Total contractual cash obligations</w:t>
            </w:r>
          </w:p>
        </w:tc>
        <w:tc>
          <w:tcPr>
            <w:tcW w:w="74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505,723</w:t>
            </w:r>
          </w:p>
        </w:tc>
        <w:tc>
          <w:tcPr>
            <w:tcW w:w="18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114,832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246,063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30,886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113,942</w:t>
            </w: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face value of the obligation.</w:t>
      </w:r>
    </w:p>
    <w:p>
      <w:pPr>
        <w:spacing w:after="0" w:line="45" w:lineRule="exact"/>
        <w:rPr>
          <w:rFonts w:ascii="Arial" w:cs="Arial" w:eastAsia="Arial" w:hAnsi="Arial"/>
          <w:sz w:val="16"/>
          <w:szCs w:val="16"/>
          <w:color w:val="auto"/>
        </w:rPr>
      </w:pPr>
    </w:p>
    <w:p>
      <w:pPr>
        <w:ind w:left="280" w:hanging="272"/>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 obligations consist of accounts payable at December 31, 2021.</w:t>
      </w:r>
    </w:p>
    <w:p>
      <w:pPr>
        <w:spacing w:after="0" w:line="45" w:lineRule="exact"/>
        <w:rPr>
          <w:rFonts w:ascii="Arial" w:cs="Arial" w:eastAsia="Arial" w:hAnsi="Arial"/>
          <w:sz w:val="16"/>
          <w:szCs w:val="16"/>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long-term obligations comprise largely excess benefit obligations.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Versus 2020 – Consolidated Results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Set forth below are the year-to-year changes in the components of the statement of operations relating to income for 2021 versus 2020 (in thousands, except percentages):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6"/>
                <w:szCs w:val="16"/>
                <w:b w:val="1"/>
                <w:bCs w:val="1"/>
                <w:color w:val="auto"/>
              </w:rPr>
              <w:t>Favorable/(Unfavorable)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Service revenues and sales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6"/>
                <w:szCs w:val="16"/>
                <w:color w:val="auto"/>
              </w:rPr>
              <w:t>Roto-Rooter</w:t>
            </w:r>
          </w:p>
        </w:tc>
        <w:tc>
          <w:tcPr>
            <w:tcW w:w="1740" w:type="dxa"/>
            <w:vAlign w:val="bottom"/>
            <w:gridSpan w:val="5"/>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133,099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ind w:left="220"/>
              <w:spacing w:after="0"/>
              <w:rPr>
                <w:sz w:val="20"/>
                <w:szCs w:val="20"/>
                <w:color w:val="auto"/>
              </w:rPr>
            </w:pPr>
            <w:r>
              <w:rPr>
                <w:rFonts w:ascii="Arial" w:cs="Arial" w:eastAsia="Arial" w:hAnsi="Arial"/>
                <w:sz w:val="16"/>
                <w:szCs w:val="16"/>
                <w:color w:val="auto"/>
              </w:rPr>
              <w:t>VITAS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(73,421)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400" w:type="dxa"/>
            <w:vAlign w:val="bottom"/>
          </w:tcPr>
          <w:p>
            <w:pPr>
              <w:ind w:left="400"/>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59,678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Cost of services provided and goods sold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8,739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(36,509)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(2,415)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Amortization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(76,082)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(46,642)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Interest expense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Other income - net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479</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(45,676)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Income taxes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(5,240)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3"/>
        </w:trPr>
        <w:tc>
          <w:tcPr>
            <w:tcW w:w="6400" w:type="dxa"/>
            <w:vAlign w:val="bottom"/>
          </w:tcPr>
          <w:p>
            <w:pPr>
              <w:ind w:left="340"/>
              <w:spacing w:after="0" w:line="183" w:lineRule="exact"/>
              <w:rPr>
                <w:sz w:val="20"/>
                <w:szCs w:val="20"/>
                <w:color w:val="auto"/>
              </w:rPr>
            </w:pPr>
            <w:r>
              <w:rPr>
                <w:rFonts w:ascii="Arial" w:cs="Arial" w:eastAsia="Arial" w:hAnsi="Arial"/>
                <w:sz w:val="16"/>
                <w:szCs w:val="16"/>
                <w:color w:val="auto"/>
              </w:rPr>
              <w:t>Net income</w:t>
            </w:r>
          </w:p>
        </w:tc>
        <w:tc>
          <w:tcPr>
            <w:tcW w:w="1740" w:type="dxa"/>
            <w:vAlign w:val="bottom"/>
            <w:gridSpan w:val="5"/>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10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(50,916)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660"/>
              <w:spacing w:after="0"/>
              <w:rPr>
                <w:sz w:val="20"/>
                <w:szCs w:val="20"/>
                <w:color w:val="auto"/>
              </w:rPr>
            </w:pPr>
            <w:r>
              <w:rPr>
                <w:rFonts w:ascii="Arial" w:cs="Arial" w:eastAsia="Arial" w:hAnsi="Arial"/>
                <w:sz w:val="18"/>
                <w:szCs w:val="18"/>
                <w:color w:val="auto"/>
              </w:rPr>
              <w:t>The VITAS segment revenue is as follows (dollars in thousands):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400" w:type="dxa"/>
            <w:vAlign w:val="bottom"/>
          </w:tcPr>
          <w:p>
            <w:pPr>
              <w:spacing w:after="0"/>
              <w:rPr>
                <w:sz w:val="20"/>
                <w:szCs w:val="20"/>
                <w:color w:val="auto"/>
              </w:rPr>
            </w:pPr>
            <w:r>
              <w:rPr>
                <w:rFonts w:ascii="Arial" w:cs="Arial" w:eastAsia="Arial" w:hAnsi="Arial"/>
                <w:sz w:val="16"/>
                <w:szCs w:val="16"/>
                <w:color w:val="auto"/>
              </w:rPr>
              <w:t>Routine homecare</w:t>
            </w:r>
          </w:p>
        </w:tc>
        <w:tc>
          <w:tcPr>
            <w:tcW w:w="1960" w:type="dxa"/>
            <w:vAlign w:val="bottom"/>
            <w:gridSpan w:val="6"/>
          </w:tcPr>
          <w:p>
            <w:pPr>
              <w:ind w:left="17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1,069,766</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1,106,358</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Continuous care</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94,338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136,011</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Inpatient care</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113,187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114,956</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12,142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11,164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Medicare cap adjustment</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(6,597)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(6,678)</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Implicit price concessions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(11,530)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(14,970)</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20"/>
                <w:szCs w:val="20"/>
                <w:color w:val="auto"/>
              </w:rPr>
            </w:pPr>
            <w:r>
              <w:rPr>
                <w:rFonts w:ascii="Arial" w:cs="Arial" w:eastAsia="Arial" w:hAnsi="Arial"/>
                <w:sz w:val="16"/>
                <w:szCs w:val="16"/>
                <w:color w:val="auto"/>
              </w:rPr>
              <w:t>Room and board, net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(10,060)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(12,174)</w:t>
            </w:r>
          </w:p>
        </w:tc>
        <w:tc>
          <w:tcPr>
            <w:tcW w:w="0" w:type="dxa"/>
            <w:vAlign w:val="bottom"/>
          </w:tcPr>
          <w:p>
            <w:pPr>
              <w:spacing w:after="0"/>
              <w:rPr>
                <w:sz w:val="1"/>
                <w:szCs w:val="1"/>
                <w:color w:val="auto"/>
              </w:rPr>
            </w:pPr>
          </w:p>
        </w:tc>
      </w:tr>
      <w:tr>
        <w:trPr>
          <w:trHeight w:val="156"/>
        </w:trPr>
        <w:tc>
          <w:tcPr>
            <w:tcW w:w="6400" w:type="dxa"/>
            <w:vAlign w:val="bottom"/>
          </w:tcPr>
          <w:p>
            <w:pPr>
              <w:spacing w:after="0" w:line="155" w:lineRule="exact"/>
              <w:rPr>
                <w:sz w:val="20"/>
                <w:szCs w:val="20"/>
                <w:color w:val="auto"/>
              </w:rPr>
            </w:pPr>
            <w:r>
              <w:rPr>
                <w:rFonts w:ascii="Arial" w:cs="Arial" w:eastAsia="Arial" w:hAnsi="Arial"/>
                <w:sz w:val="16"/>
                <w:szCs w:val="16"/>
                <w:color w:val="auto"/>
              </w:rPr>
              <w:t>Net revenue</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6"/>
                <w:szCs w:val="16"/>
                <w:b w:val="1"/>
                <w:bCs w:val="1"/>
                <w:color w:val="auto"/>
              </w:rPr>
              <w:t>1,261,246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1,334,667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660"/>
              <w:spacing w:after="0"/>
              <w:rPr>
                <w:sz w:val="20"/>
                <w:szCs w:val="20"/>
                <w:color w:val="auto"/>
              </w:rPr>
            </w:pPr>
            <w:r>
              <w:rPr>
                <w:rFonts w:ascii="Arial" w:cs="Arial" w:eastAsia="Arial" w:hAnsi="Arial"/>
                <w:sz w:val="18"/>
                <w:szCs w:val="18"/>
                <w:color w:val="auto"/>
              </w:rPr>
              <w:t>Days of care are as follows: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00" w:type="dxa"/>
            <w:vAlign w:val="bottom"/>
          </w:tcPr>
          <w:p>
            <w:pPr>
              <w:spacing w:after="0"/>
              <w:rPr>
                <w:sz w:val="24"/>
                <w:szCs w:val="24"/>
                <w:color w:val="auto"/>
              </w:rPr>
            </w:pPr>
          </w:p>
        </w:tc>
        <w:tc>
          <w:tcPr>
            <w:tcW w:w="196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w w:val="98"/>
              </w:rPr>
              <w:t>Days of Care</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1"/>
              </w:rPr>
              <w:t>Increase/(Decrease)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33"/>
        </w:trPr>
        <w:tc>
          <w:tcPr>
            <w:tcW w:w="6400" w:type="dxa"/>
            <w:vAlign w:val="bottom"/>
          </w:tcPr>
          <w:p>
            <w:pPr>
              <w:ind w:left="920"/>
              <w:spacing w:after="0"/>
              <w:rPr>
                <w:sz w:val="20"/>
                <w:szCs w:val="20"/>
                <w:color w:val="auto"/>
              </w:rPr>
            </w:pPr>
            <w:r>
              <w:rPr>
                <w:rFonts w:ascii="Arial" w:cs="Arial" w:eastAsia="Arial" w:hAnsi="Arial"/>
                <w:sz w:val="16"/>
                <w:szCs w:val="16"/>
                <w:color w:val="auto"/>
              </w:rPr>
              <w:t>Routine homecare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5,347,170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5,597,213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6400" w:type="dxa"/>
            <w:vAlign w:val="bottom"/>
          </w:tcPr>
          <w:p>
            <w:pPr>
              <w:ind w:left="920"/>
              <w:spacing w:after="0"/>
              <w:rPr>
                <w:sz w:val="20"/>
                <w:szCs w:val="20"/>
                <w:color w:val="auto"/>
              </w:rPr>
            </w:pPr>
            <w:r>
              <w:rPr>
                <w:rFonts w:ascii="Arial" w:cs="Arial" w:eastAsia="Arial" w:hAnsi="Arial"/>
                <w:sz w:val="16"/>
                <w:szCs w:val="16"/>
                <w:color w:val="auto"/>
              </w:rPr>
              <w:t>Nursing home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993,322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1,097,493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5"/>
        </w:trPr>
        <w:tc>
          <w:tcPr>
            <w:tcW w:w="6400" w:type="dxa"/>
            <w:vAlign w:val="bottom"/>
          </w:tcPr>
          <w:p>
            <w:pPr>
              <w:ind w:left="920"/>
              <w:spacing w:after="0"/>
              <w:rPr>
                <w:sz w:val="20"/>
                <w:szCs w:val="20"/>
                <w:color w:val="auto"/>
              </w:rPr>
            </w:pPr>
            <w:r>
              <w:rPr>
                <w:rFonts w:ascii="Arial" w:cs="Arial" w:eastAsia="Arial" w:hAnsi="Arial"/>
                <w:sz w:val="16"/>
                <w:szCs w:val="16"/>
                <w:color w:val="auto"/>
              </w:rPr>
              <w:t>Respite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21,403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400" w:type="dxa"/>
            <w:vAlign w:val="bottom"/>
          </w:tcPr>
          <w:p>
            <w:pPr>
              <w:ind w:left="1140"/>
              <w:spacing w:after="0"/>
              <w:rPr>
                <w:sz w:val="20"/>
                <w:szCs w:val="20"/>
                <w:color w:val="auto"/>
              </w:rPr>
            </w:pPr>
            <w:r>
              <w:rPr>
                <w:rFonts w:ascii="Arial" w:cs="Arial" w:eastAsia="Arial" w:hAnsi="Arial"/>
                <w:sz w:val="16"/>
                <w:szCs w:val="16"/>
                <w:color w:val="auto"/>
              </w:rPr>
              <w:t>Subtotal routine homecare and respite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6,361,895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6,715,093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400" w:type="dxa"/>
            <w:vAlign w:val="bottom"/>
          </w:tcPr>
          <w:p>
            <w:pPr>
              <w:ind w:left="920"/>
              <w:spacing w:after="0"/>
              <w:rPr>
                <w:sz w:val="20"/>
                <w:szCs w:val="20"/>
                <w:color w:val="auto"/>
              </w:rPr>
            </w:pPr>
            <w:r>
              <w:rPr>
                <w:rFonts w:ascii="Arial" w:cs="Arial" w:eastAsia="Arial" w:hAnsi="Arial"/>
                <w:sz w:val="16"/>
                <w:szCs w:val="16"/>
                <w:color w:val="auto"/>
              </w:rPr>
              <w:t>Continuous care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101,539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141,693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5"/>
        </w:trPr>
        <w:tc>
          <w:tcPr>
            <w:tcW w:w="6400" w:type="dxa"/>
            <w:vAlign w:val="bottom"/>
          </w:tcPr>
          <w:p>
            <w:pPr>
              <w:ind w:left="920"/>
              <w:spacing w:after="0"/>
              <w:rPr>
                <w:sz w:val="20"/>
                <w:szCs w:val="20"/>
                <w:color w:val="auto"/>
              </w:rPr>
            </w:pPr>
            <w:r>
              <w:rPr>
                <w:rFonts w:ascii="Arial" w:cs="Arial" w:eastAsia="Arial" w:hAnsi="Arial"/>
                <w:sz w:val="16"/>
                <w:szCs w:val="16"/>
                <w:color w:val="auto"/>
              </w:rPr>
              <w:t>General inpatient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107,685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2"/>
        </w:trPr>
        <w:tc>
          <w:tcPr>
            <w:tcW w:w="6400" w:type="dxa"/>
            <w:vAlign w:val="bottom"/>
          </w:tcPr>
          <w:p>
            <w:pPr>
              <w:ind w:left="1140"/>
              <w:spacing w:after="0" w:line="183" w:lineRule="exact"/>
              <w:rPr>
                <w:sz w:val="20"/>
                <w:szCs w:val="20"/>
                <w:color w:val="auto"/>
              </w:rPr>
            </w:pPr>
            <w:r>
              <w:rPr>
                <w:rFonts w:ascii="Arial" w:cs="Arial" w:eastAsia="Arial" w:hAnsi="Arial"/>
                <w:sz w:val="16"/>
                <w:szCs w:val="16"/>
                <w:color w:val="auto"/>
              </w:rPr>
              <w:t>Total days of care</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6,571,119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6,969,504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decrease in service revenues at VITAS is comprised primarily of a 5.7% decrease in days-of-care, a 1.7% decrease in acuity mix shift offset by a 1.7% increase in geographically weighted reimbursement rates. The combination of a lower Medicare cap revenue reduction and other contra revenue changes offset a portion of the revenue decline by approximately 20 basis points.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The Roto-Rooter segment revenue is as follows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r>
      <w:tr>
        <w:trPr>
          <w:trHeight w:val="433"/>
        </w:trPr>
        <w:tc>
          <w:tcPr>
            <w:tcW w:w="8140" w:type="dxa"/>
            <w:vAlign w:val="bottom"/>
          </w:tcPr>
          <w:p>
            <w:pPr>
              <w:spacing w:after="0"/>
              <w:rPr>
                <w:sz w:val="20"/>
                <w:szCs w:val="20"/>
                <w:color w:val="auto"/>
              </w:rPr>
            </w:pPr>
            <w:r>
              <w:rPr>
                <w:rFonts w:ascii="Arial" w:cs="Arial" w:eastAsia="Arial" w:hAnsi="Arial"/>
                <w:sz w:val="16"/>
                <w:szCs w:val="16"/>
                <w:color w:val="auto"/>
              </w:rPr>
              <w:t>Drain cleaning - short term core</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254,773</w:t>
            </w:r>
          </w:p>
        </w:tc>
        <w:tc>
          <w:tcPr>
            <w:tcW w:w="16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218,500</w:t>
            </w:r>
          </w:p>
        </w:tc>
      </w:tr>
      <w:tr>
        <w:trPr>
          <w:trHeight w:val="195"/>
        </w:trPr>
        <w:tc>
          <w:tcPr>
            <w:tcW w:w="8140" w:type="dxa"/>
            <w:vAlign w:val="bottom"/>
          </w:tcPr>
          <w:p>
            <w:pPr>
              <w:spacing w:after="0"/>
              <w:rPr>
                <w:sz w:val="20"/>
                <w:szCs w:val="20"/>
                <w:color w:val="auto"/>
              </w:rPr>
            </w:pPr>
            <w:r>
              <w:rPr>
                <w:rFonts w:ascii="Arial" w:cs="Arial" w:eastAsia="Arial" w:hAnsi="Arial"/>
                <w:sz w:val="16"/>
                <w:szCs w:val="16"/>
                <w:color w:val="auto"/>
              </w:rPr>
              <w:t>Plumbing - short term core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176,051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147,326</w:t>
            </w:r>
          </w:p>
        </w:tc>
      </w:tr>
      <w:tr>
        <w:trPr>
          <w:trHeight w:val="217"/>
        </w:trPr>
        <w:tc>
          <w:tcPr>
            <w:tcW w:w="8140" w:type="dxa"/>
            <w:vAlign w:val="bottom"/>
          </w:tcPr>
          <w:p>
            <w:pPr>
              <w:ind w:left="340"/>
              <w:spacing w:after="0"/>
              <w:rPr>
                <w:sz w:val="20"/>
                <w:szCs w:val="20"/>
                <w:color w:val="auto"/>
              </w:rPr>
            </w:pPr>
            <w:r>
              <w:rPr>
                <w:rFonts w:ascii="Arial" w:cs="Arial" w:eastAsia="Arial" w:hAnsi="Arial"/>
                <w:sz w:val="16"/>
                <w:szCs w:val="16"/>
                <w:color w:val="auto"/>
              </w:rPr>
              <w:t>Subtotal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430,824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365,826</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Excavation - short term core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215,190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184,960</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Water restoration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153,115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126,378</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Contractor operations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76,858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64,727</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Outside franchisee fees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5,068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4,893</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Other - short term core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1,138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1,714</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15,576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13,537</w:t>
            </w:r>
          </w:p>
        </w:tc>
      </w:tr>
      <w:tr>
        <w:trPr>
          <w:trHeight w:val="195"/>
        </w:trPr>
        <w:tc>
          <w:tcPr>
            <w:tcW w:w="8140" w:type="dxa"/>
            <w:vAlign w:val="bottom"/>
          </w:tcPr>
          <w:p>
            <w:pPr>
              <w:spacing w:after="0"/>
              <w:rPr>
                <w:sz w:val="20"/>
                <w:szCs w:val="20"/>
                <w:color w:val="auto"/>
              </w:rPr>
            </w:pPr>
            <w:r>
              <w:rPr>
                <w:rFonts w:ascii="Arial" w:cs="Arial" w:eastAsia="Arial" w:hAnsi="Arial"/>
                <w:sz w:val="16"/>
                <w:szCs w:val="16"/>
                <w:color w:val="auto"/>
              </w:rPr>
              <w:t>Implicit price concessions and credit memos</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(19,754)</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(17,119)</w:t>
            </w:r>
          </w:p>
        </w:tc>
      </w:tr>
      <w:tr>
        <w:trPr>
          <w:trHeight w:val="183"/>
        </w:trPr>
        <w:tc>
          <w:tcPr>
            <w:tcW w:w="8140" w:type="dxa"/>
            <w:vAlign w:val="bottom"/>
          </w:tcPr>
          <w:p>
            <w:pPr>
              <w:ind w:left="660"/>
              <w:spacing w:after="0" w:line="183"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878,015</w:t>
            </w:r>
          </w:p>
        </w:tc>
        <w:tc>
          <w:tcPr>
            <w:tcW w:w="16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744,916</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increase in drain cleaning revenues for 2021 versus 2020 is attributable to a 10.1% increase in price and service mix shift and a 6.5% increase in job count. The increase in plumbing revenues for 2021 versus 2020 is attributable to a 10.1% increase in price and service mix shift and a 9.4% increase in job count. The increase in excavation revenues for 2021 versus 2020 is attributable to a 12.6% increase in price and service mix shift and an 3.7% increase in job count. Water restoration revenue for 2021 versus 2020 is attributable to a 14.5% increase in price and service mix shift and a 6.7% increase in job count. Contractor operations increased 18.7%. The increase in job count for all service lines was driven by both residential and commercial customers.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consolidated gross margin excluding depreciation was 36.0% in 2021 versus 33.7% in 2020. On a segment basis, VITAS’ gross margin excluding depreciation was 24.4% in 2021 and 24.3% in 2020. Roto-Rooter’s gross margin excluding depreciation was 52.6% in 2021 and 50.7% in 2020. The increase is primarily due to increased revenue and improved labor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w w:val="94"/>
              </w:rPr>
              <w:t>Selling, general and administrative expenses (“SG&amp;A”) for 2021 and 2020 comprise (in thousands):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40" w:type="dxa"/>
            <w:vAlign w:val="bottom"/>
            <w:vMerge w:val="restart"/>
          </w:tcPr>
          <w:p>
            <w:pPr>
              <w:spacing w:after="0"/>
              <w:rPr>
                <w:sz w:val="20"/>
                <w:szCs w:val="20"/>
                <w:color w:val="auto"/>
              </w:rPr>
            </w:pPr>
            <w:r>
              <w:rPr>
                <w:rFonts w:ascii="Arial" w:cs="Arial" w:eastAsia="Arial" w:hAnsi="Arial"/>
                <w:sz w:val="18"/>
                <w:szCs w:val="18"/>
                <w:color w:val="auto"/>
              </w:rPr>
              <w:t>SG&amp;A expenses before long-term incentive compensation, and the impact of market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5"/>
        </w:trPr>
        <w:tc>
          <w:tcPr>
            <w:tcW w:w="8140" w:type="dxa"/>
            <w:vAlign w:val="bottom"/>
            <w:vMerge w:val="continue"/>
          </w:tcPr>
          <w:p>
            <w:pPr>
              <w:spacing w:after="0"/>
              <w:rPr>
                <w:sz w:val="13"/>
                <w:szCs w:val="13"/>
                <w:color w:val="auto"/>
              </w:rPr>
            </w:pPr>
          </w:p>
        </w:tc>
        <w:tc>
          <w:tcPr>
            <w:tcW w:w="360" w:type="dxa"/>
            <w:vAlign w:val="bottom"/>
            <w:vMerge w:val="restart"/>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349,250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80"/>
              <w:spacing w:after="0" w:line="185" w:lineRule="exact"/>
              <w:rPr>
                <w:sz w:val="20"/>
                <w:szCs w:val="20"/>
                <w:color w:val="auto"/>
              </w:rPr>
            </w:pPr>
            <w:r>
              <w:rPr>
                <w:rFonts w:ascii="Arial" w:cs="Arial" w:eastAsia="Arial" w:hAnsi="Arial"/>
                <w:sz w:val="18"/>
                <w:szCs w:val="18"/>
                <w:color w:val="auto"/>
              </w:rPr>
              <w:t>value adjustments related to deferred compensation trusts</w:t>
            </w: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tcPr>
          <w:p>
            <w:pPr>
              <w:jc w:val="right"/>
              <w:ind w:right="207"/>
              <w:spacing w:after="0" w:line="185"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5" w:lineRule="exact"/>
              <w:rPr>
                <w:sz w:val="20"/>
                <w:szCs w:val="20"/>
                <w:color w:val="auto"/>
              </w:rPr>
            </w:pPr>
            <w:r>
              <w:rPr>
                <w:rFonts w:ascii="Arial" w:cs="Arial" w:eastAsia="Arial" w:hAnsi="Arial"/>
                <w:sz w:val="18"/>
                <w:szCs w:val="18"/>
                <w:color w:val="auto"/>
              </w:rPr>
              <w:t>313,348</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Long-term incentive compensation</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9,167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8"/>
                <w:szCs w:val="18"/>
                <w:color w:val="auto"/>
              </w:rPr>
              <w:t>Impact of market value adjustments related to assets held in deferred compensation trusts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183"/>
        </w:trPr>
        <w:tc>
          <w:tcPr>
            <w:tcW w:w="8140" w:type="dxa"/>
            <w:vAlign w:val="bottom"/>
          </w:tcPr>
          <w:p>
            <w:pPr>
              <w:ind w:left="240"/>
              <w:spacing w:after="0" w:line="182" w:lineRule="exact"/>
              <w:rPr>
                <w:sz w:val="20"/>
                <w:szCs w:val="20"/>
                <w:color w:val="auto"/>
              </w:rPr>
            </w:pPr>
            <w:r>
              <w:rPr>
                <w:rFonts w:ascii="Arial" w:cs="Arial" w:eastAsia="Arial" w:hAnsi="Arial"/>
                <w:sz w:val="18"/>
                <w:szCs w:val="18"/>
                <w:color w:val="auto"/>
              </w:rPr>
              <w:t>Total SG&amp;A expenses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366,727</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330,218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SG&amp;A expenses before long-term incentive compensation and the impact of market value adjustments related to deferred compensation trusts for 2021 were up 11.5% when compared to 2020. This increase was mainly a result of the increase in variable selling and general administrative expenses at Roto-Rooter and increased variable bonus expense at Roto-Rooter caused by increased income.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operating (income)/expense for 2021 and 2020 comprise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36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4840" w:type="dxa"/>
            <w:vAlign w:val="bottom"/>
            <w:gridSpan w:val="2"/>
          </w:tcPr>
          <w:p>
            <w:pPr>
              <w:jc w:val="right"/>
              <w:ind w:right="898"/>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987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CARES Act grant income</w:t>
            </w:r>
          </w:p>
        </w:tc>
        <w:tc>
          <w:tcPr>
            <w:tcW w:w="3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(80,225)</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Litigation settlements</w:t>
            </w:r>
          </w:p>
        </w:tc>
        <w:tc>
          <w:tcPr>
            <w:tcW w:w="37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60" w:type="dxa"/>
            <w:vAlign w:val="bottom"/>
          </w:tcPr>
          <w:p>
            <w:pPr>
              <w:ind w:left="220"/>
              <w:spacing w:after="0" w:line="196" w:lineRule="exact"/>
              <w:rPr>
                <w:sz w:val="20"/>
                <w:szCs w:val="20"/>
                <w:color w:val="auto"/>
              </w:rPr>
            </w:pPr>
            <w:r>
              <w:rPr>
                <w:rFonts w:ascii="Arial" w:cs="Arial" w:eastAsia="Arial" w:hAnsi="Arial"/>
                <w:sz w:val="18"/>
                <w:szCs w:val="18"/>
                <w:color w:val="auto"/>
              </w:rPr>
              <w:t>Total other operating expenses</w:t>
            </w:r>
          </w:p>
        </w:tc>
        <w:tc>
          <w:tcPr>
            <w:tcW w:w="3780" w:type="dxa"/>
            <w:vAlign w:val="bottom"/>
          </w:tcPr>
          <w:p>
            <w:pPr>
              <w:spacing w:after="0"/>
              <w:rPr>
                <w:sz w:val="17"/>
                <w:szCs w:val="17"/>
                <w:color w:val="auto"/>
              </w:rPr>
            </w:pPr>
          </w:p>
        </w:tc>
        <w:tc>
          <w:tcPr>
            <w:tcW w:w="1060" w:type="dxa"/>
            <w:vAlign w:val="bottom"/>
          </w:tcPr>
          <w:p>
            <w:pPr>
              <w:jc w:val="right"/>
              <w:ind w:right="89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987</w:t>
            </w:r>
          </w:p>
        </w:tc>
        <w:tc>
          <w:tcPr>
            <w:tcW w:w="340" w:type="dxa"/>
            <w:vAlign w:val="bottom"/>
            <w:gridSpan w:val="2"/>
            <w:vMerge w:val="continue"/>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(75,095)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780" w:type="dxa"/>
            <w:vAlign w:val="bottom"/>
            <w:vMerge w:val="restart"/>
          </w:tcPr>
          <w:p>
            <w:pPr>
              <w:jc w:val="right"/>
              <w:ind w:right="2330"/>
              <w:spacing w:after="0"/>
              <w:rPr>
                <w:sz w:val="20"/>
                <w:szCs w:val="20"/>
                <w:color w:val="auto"/>
              </w:rPr>
            </w:pPr>
            <w:r>
              <w:rPr>
                <w:rFonts w:ascii="Arial" w:cs="Arial" w:eastAsia="Arial" w:hAnsi="Arial"/>
                <w:sz w:val="18"/>
                <w:szCs w:val="18"/>
                <w:color w:val="auto"/>
              </w:rPr>
              <w:t>82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3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6540" w:type="dxa"/>
            <w:vAlign w:val="bottom"/>
          </w:tcPr>
          <w:p>
            <w:pPr>
              <w:ind w:left="660"/>
              <w:spacing w:after="0"/>
              <w:rPr>
                <w:sz w:val="20"/>
                <w:szCs w:val="20"/>
                <w:color w:val="auto"/>
              </w:rPr>
            </w:pPr>
            <w:r>
              <w:rPr>
                <w:rFonts w:ascii="Arial" w:cs="Arial" w:eastAsia="Arial" w:hAnsi="Arial"/>
                <w:sz w:val="18"/>
                <w:szCs w:val="18"/>
                <w:color w:val="auto"/>
              </w:rPr>
              <w:t>Other income-net for 2021 and 2020 comprise (in thousands):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540" w:type="dxa"/>
            <w:vAlign w:val="bottom"/>
          </w:tcPr>
          <w:p>
            <w:pPr>
              <w:spacing w:after="0"/>
              <w:rPr>
                <w:sz w:val="20"/>
                <w:szCs w:val="20"/>
                <w:color w:val="auto"/>
              </w:rPr>
            </w:pPr>
            <w:r>
              <w:rPr>
                <w:rFonts w:ascii="Arial" w:cs="Arial" w:eastAsia="Arial" w:hAnsi="Arial"/>
                <w:sz w:val="18"/>
                <w:szCs w:val="18"/>
                <w:color w:val="auto"/>
              </w:rPr>
              <w:t>Market value gains on assets held in deferred</w:t>
            </w:r>
          </w:p>
        </w:tc>
        <w:tc>
          <w:tcPr>
            <w:tcW w:w="1880" w:type="dxa"/>
            <w:vAlign w:val="bottom"/>
            <w:gridSpan w:val="3"/>
            <w:vMerge w:val="restart"/>
          </w:tcPr>
          <w:p>
            <w:pPr>
              <w:jc w:val="right"/>
              <w:ind w:right="12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8,310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540" w:type="dxa"/>
            <w:vAlign w:val="bottom"/>
          </w:tcPr>
          <w:p>
            <w:pPr>
              <w:ind w:left="140"/>
              <w:spacing w:after="0" w:line="185" w:lineRule="exact"/>
              <w:rPr>
                <w:sz w:val="20"/>
                <w:szCs w:val="20"/>
                <w:color w:val="auto"/>
              </w:rPr>
            </w:pPr>
            <w:r>
              <w:rPr>
                <w:rFonts w:ascii="Arial" w:cs="Arial" w:eastAsia="Arial" w:hAnsi="Arial"/>
                <w:sz w:val="18"/>
                <w:szCs w:val="18"/>
                <w:color w:val="auto"/>
              </w:rPr>
              <w:t>compensation trusts</w:t>
            </w:r>
          </w:p>
        </w:tc>
        <w:tc>
          <w:tcPr>
            <w:tcW w:w="18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185" w:lineRule="exact"/>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189"/>
        </w:trPr>
        <w:tc>
          <w:tcPr>
            <w:tcW w:w="6540" w:type="dxa"/>
            <w:vAlign w:val="bottom"/>
          </w:tcPr>
          <w:p>
            <w:pPr>
              <w:spacing w:after="0" w:line="189" w:lineRule="exact"/>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377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6540" w:type="dxa"/>
            <w:vAlign w:val="bottom"/>
          </w:tcPr>
          <w:p>
            <w:pPr>
              <w:ind w:left="240"/>
              <w:spacing w:after="0" w:line="182" w:lineRule="exact"/>
              <w:rPr>
                <w:sz w:val="20"/>
                <w:szCs w:val="20"/>
                <w:color w:val="auto"/>
              </w:rPr>
            </w:pPr>
            <w:r>
              <w:rPr>
                <w:rFonts w:ascii="Arial" w:cs="Arial" w:eastAsia="Arial" w:hAnsi="Arial"/>
                <w:sz w:val="18"/>
                <w:szCs w:val="18"/>
                <w:color w:val="auto"/>
              </w:rPr>
              <w:t>Total other income</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9,144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660"/>
              <w:spacing w:after="0"/>
              <w:rPr>
                <w:sz w:val="20"/>
                <w:szCs w:val="20"/>
                <w:color w:val="auto"/>
              </w:rPr>
            </w:pPr>
            <w:r>
              <w:rPr>
                <w:rFonts w:ascii="Arial" w:cs="Arial" w:eastAsia="Arial" w:hAnsi="Arial"/>
                <w:sz w:val="18"/>
                <w:szCs w:val="18"/>
                <w:color w:val="auto"/>
              </w:rPr>
              <w:t>Our effective tax rate reconciliation is as follows: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540" w:type="dxa"/>
            <w:vAlign w:val="bottom"/>
          </w:tcPr>
          <w:p>
            <w:pPr>
              <w:spacing w:after="0"/>
              <w:rPr>
                <w:sz w:val="20"/>
                <w:szCs w:val="20"/>
                <w:color w:val="auto"/>
              </w:rPr>
            </w:pPr>
            <w:r>
              <w:rPr>
                <w:rFonts w:ascii="Arial" w:cs="Arial" w:eastAsia="Arial" w:hAnsi="Arial"/>
                <w:sz w:val="18"/>
                <w:szCs w:val="18"/>
                <w:color w:val="auto"/>
              </w:rPr>
              <w:t>Income tax provision calculated using the statutory rate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73,566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83,158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State and local income taxes, less federal income tax effect</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Excess stock compensation tax benefits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(9,884)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(26,089)</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Other--net</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20"/>
              <w:spacing w:after="0" w:line="196" w:lineRule="exact"/>
              <w:rPr>
                <w:sz w:val="20"/>
                <w:szCs w:val="20"/>
                <w:color w:val="auto"/>
              </w:rPr>
            </w:pPr>
            <w:r>
              <w:rPr>
                <w:rFonts w:ascii="Arial" w:cs="Arial" w:eastAsia="Arial" w:hAnsi="Arial"/>
                <w:sz w:val="18"/>
                <w:szCs w:val="18"/>
                <w:color w:val="auto"/>
              </w:rPr>
              <w:t>Income tax provision</w:t>
            </w:r>
          </w:p>
        </w:tc>
        <w:tc>
          <w:tcPr>
            <w:tcW w:w="14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81,764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Effective tax rate</w:t>
            </w: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70"/>
        </w:trPr>
        <w:tc>
          <w:tcPr>
            <w:tcW w:w="65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23.3</w:t>
            </w:r>
          </w:p>
        </w:tc>
        <w:tc>
          <w:tcPr>
            <w:tcW w:w="18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19.3</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for both periods include the following after-tax adjustments that increased/(reduced) after-tax earnings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r>
      <w:tr>
        <w:trPr>
          <w:trHeight w:val="217"/>
        </w:trPr>
        <w:tc>
          <w:tcPr>
            <w:tcW w:w="8140" w:type="dxa"/>
            <w:vAlign w:val="bottom"/>
          </w:tcPr>
          <w:p>
            <w:pPr>
              <w:spacing w:after="0"/>
              <w:rPr>
                <w:sz w:val="20"/>
                <w:szCs w:val="20"/>
                <w:color w:val="auto"/>
              </w:rPr>
            </w:pPr>
            <w:r>
              <w:rPr>
                <w:rFonts w:ascii="Arial" w:cs="Arial" w:eastAsia="Arial" w:hAnsi="Arial"/>
                <w:sz w:val="16"/>
                <w:szCs w:val="16"/>
                <w:color w:val="auto"/>
              </w:rPr>
              <w:t>VITAS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COVID-19 expense</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(12,157)</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(26,430)</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Facility relocation expenses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(1,384)</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CARES Act grant income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59,848</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Medicare cap sequestration adjustment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Roto-Rooter</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Amortization of reacquired franchise agreements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(6,915)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(6,914)</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Direct costs related to COVID-19</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(1,789)</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(2,808)</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Litigation settlements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(2,675)</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Corporate</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Stock option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(18,879)</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(15,700)</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Excess tax benefits on stock compensation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9,884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26,089</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Long-term incentive compensation</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(8,094)</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(7,895)</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Direct costs related to COVID-19</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(29)</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8140" w:type="dxa"/>
            <w:vAlign w:val="bottom"/>
          </w:tcPr>
          <w:p>
            <w:pPr>
              <w:ind w:left="3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(166)</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140" w:type="dxa"/>
            <w:vAlign w:val="bottom"/>
          </w:tcPr>
          <w:p>
            <w:pPr>
              <w:ind w:left="660"/>
              <w:spacing w:after="0" w:line="183"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(39,457)</w:t>
            </w:r>
          </w:p>
        </w:tc>
        <w:tc>
          <w:tcPr>
            <w:tcW w:w="16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23,053</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Versus 2020– Segment Results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income/(loss) for 2021 versus 2020 (in thousand):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2020</w:t>
            </w:r>
          </w:p>
        </w:tc>
      </w:tr>
      <w:tr>
        <w:trPr>
          <w:trHeight w:val="433"/>
        </w:trPr>
        <w:tc>
          <w:tcPr>
            <w:tcW w:w="4400" w:type="dxa"/>
            <w:vAlign w:val="bottom"/>
          </w:tcPr>
          <w:p>
            <w:pPr>
              <w:spacing w:after="0"/>
              <w:rPr>
                <w:sz w:val="20"/>
                <w:szCs w:val="20"/>
                <w:color w:val="auto"/>
              </w:rPr>
            </w:pPr>
            <w:r>
              <w:rPr>
                <w:rFonts w:ascii="Arial" w:cs="Arial" w:eastAsia="Arial" w:hAnsi="Arial"/>
                <w:sz w:val="16"/>
                <w:szCs w:val="16"/>
                <w:color w:val="auto"/>
              </w:rPr>
              <w:t>VITAS</w:t>
            </w:r>
          </w:p>
        </w:tc>
        <w:tc>
          <w:tcPr>
            <w:tcW w:w="396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ind w:left="520"/>
              <w:spacing w:after="0"/>
              <w:rPr>
                <w:sz w:val="20"/>
                <w:szCs w:val="20"/>
                <w:color w:val="auto"/>
              </w:rPr>
            </w:pPr>
            <w:r>
              <w:rPr>
                <w:rFonts w:ascii="Arial" w:cs="Arial" w:eastAsia="Arial" w:hAnsi="Arial"/>
                <w:sz w:val="16"/>
                <w:szCs w:val="16"/>
                <w:b w:val="1"/>
                <w:bCs w:val="1"/>
                <w:color w:val="auto"/>
                <w:w w:val="93"/>
              </w:rPr>
              <w:t>162,431</w:t>
            </w:r>
          </w:p>
        </w:tc>
        <w:tc>
          <w:tcPr>
            <w:tcW w:w="180" w:type="dxa"/>
            <w:vAlign w:val="bottom"/>
          </w:tcPr>
          <w:p>
            <w:pPr>
              <w:spacing w:after="0"/>
              <w:rPr>
                <w:sz w:val="24"/>
                <w:szCs w:val="24"/>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520"/>
              <w:spacing w:after="0"/>
              <w:rPr>
                <w:sz w:val="20"/>
                <w:szCs w:val="20"/>
                <w:color w:val="auto"/>
              </w:rPr>
            </w:pPr>
            <w:r>
              <w:rPr>
                <w:rFonts w:ascii="Arial" w:cs="Arial" w:eastAsia="Arial" w:hAnsi="Arial"/>
                <w:sz w:val="16"/>
                <w:szCs w:val="16"/>
                <w:color w:val="auto"/>
                <w:w w:val="93"/>
              </w:rPr>
              <w:t>238,782</w:t>
            </w: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Roto-Rooter</w:t>
            </w: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Arial" w:cs="Arial" w:eastAsia="Arial" w:hAnsi="Arial"/>
                <w:sz w:val="16"/>
                <w:szCs w:val="16"/>
                <w:b w:val="1"/>
                <w:bCs w:val="1"/>
                <w:color w:val="auto"/>
                <w:w w:val="93"/>
              </w:rPr>
              <w:t>166,333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Arial" w:cs="Arial" w:eastAsia="Arial" w:hAnsi="Arial"/>
                <w:sz w:val="16"/>
                <w:szCs w:val="16"/>
                <w:color w:val="auto"/>
                <w:w w:val="93"/>
              </w:rPr>
              <w:t>120,394</w:t>
            </w:r>
          </w:p>
        </w:tc>
      </w:tr>
      <w:tr>
        <w:trPr>
          <w:trHeight w:val="195"/>
        </w:trPr>
        <w:tc>
          <w:tcPr>
            <w:tcW w:w="4400" w:type="dxa"/>
            <w:vAlign w:val="bottom"/>
          </w:tcPr>
          <w:p>
            <w:pPr>
              <w:spacing w:after="0"/>
              <w:rPr>
                <w:sz w:val="20"/>
                <w:szCs w:val="20"/>
                <w:color w:val="auto"/>
              </w:rPr>
            </w:pPr>
            <w:r>
              <w:rPr>
                <w:rFonts w:ascii="Arial" w:cs="Arial" w:eastAsia="Arial" w:hAnsi="Arial"/>
                <w:sz w:val="16"/>
                <w:szCs w:val="16"/>
                <w:color w:val="auto"/>
              </w:rPr>
              <w:t>Corporate</w:t>
            </w:r>
          </w:p>
        </w:tc>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ind w:left="540"/>
              <w:spacing w:after="0"/>
              <w:rPr>
                <w:sz w:val="20"/>
                <w:szCs w:val="20"/>
                <w:color w:val="auto"/>
              </w:rPr>
            </w:pPr>
            <w:r>
              <w:rPr>
                <w:rFonts w:ascii="Arial" w:cs="Arial" w:eastAsia="Arial" w:hAnsi="Arial"/>
                <w:sz w:val="16"/>
                <w:szCs w:val="16"/>
                <w:b w:val="1"/>
                <w:bCs w:val="1"/>
                <w:color w:val="auto"/>
              </w:rPr>
              <w:t>(60,214)</w:t>
            </w:r>
          </w:p>
        </w:tc>
        <w:tc>
          <w:tcPr>
            <w:tcW w:w="36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6"/>
                <w:szCs w:val="16"/>
                <w:color w:val="auto"/>
                <w:w w:val="87"/>
              </w:rPr>
              <w:t>(39,710)</w:t>
            </w:r>
          </w:p>
        </w:tc>
      </w:tr>
      <w:tr>
        <w:trPr>
          <w:trHeight w:val="183"/>
        </w:trPr>
        <w:tc>
          <w:tcPr>
            <w:tcW w:w="44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ind w:left="520"/>
              <w:spacing w:after="0" w:line="183" w:lineRule="exact"/>
              <w:rPr>
                <w:sz w:val="20"/>
                <w:szCs w:val="20"/>
                <w:color w:val="auto"/>
              </w:rPr>
            </w:pPr>
            <w:r>
              <w:rPr>
                <w:rFonts w:ascii="Arial" w:cs="Arial" w:eastAsia="Arial" w:hAnsi="Arial"/>
                <w:sz w:val="16"/>
                <w:szCs w:val="16"/>
                <w:b w:val="1"/>
                <w:bCs w:val="1"/>
                <w:color w:val="auto"/>
                <w:w w:val="93"/>
              </w:rPr>
              <w:t>268,550</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520"/>
              <w:spacing w:after="0" w:line="183" w:lineRule="exact"/>
              <w:rPr>
                <w:sz w:val="20"/>
                <w:szCs w:val="20"/>
                <w:color w:val="auto"/>
              </w:rPr>
            </w:pPr>
            <w:r>
              <w:rPr>
                <w:rFonts w:ascii="Arial" w:cs="Arial" w:eastAsia="Arial" w:hAnsi="Arial"/>
                <w:sz w:val="16"/>
                <w:szCs w:val="16"/>
                <w:color w:val="auto"/>
                <w:w w:val="93"/>
              </w:rPr>
              <w:t>319,466</w:t>
            </w:r>
          </w:p>
        </w:tc>
      </w:tr>
      <w:tr>
        <w:trPr>
          <w:trHeight w:val="20"/>
        </w:trPr>
        <w:tc>
          <w:tcPr>
            <w:tcW w:w="4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ind w:right="20" w:firstLine="648"/>
        <w:spacing w:after="0" w:line="246" w:lineRule="auto"/>
        <w:rPr>
          <w:sz w:val="20"/>
          <w:szCs w:val="20"/>
          <w:color w:val="auto"/>
        </w:rPr>
      </w:pPr>
      <w:r>
        <w:rPr>
          <w:rFonts w:ascii="Arial" w:cs="Arial" w:eastAsia="Arial" w:hAnsi="Arial"/>
          <w:sz w:val="18"/>
          <w:szCs w:val="18"/>
          <w:color w:val="auto"/>
        </w:rPr>
        <w:t>VITAS’ after-tax earnings decreased primarily due to lower revenue. After-tax earnings as a percent of revenue at VITAS in 2021 was 12.9% as compared to 17.9% in 2020.</w:t>
      </w:r>
    </w:p>
    <w:p>
      <w:pPr>
        <w:spacing w:after="0" w:line="14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Roto-Rooter’s net income was impacted in 2021 compared to 2020 primarily by higher revenue and improved labor costs. After-tax earnings as a percent of revenue at Roto-Rooter in 2021 was 18.9% as compared to 16.2% in 2020.</w:t>
      </w:r>
    </w:p>
    <w:p>
      <w:pPr>
        <w:spacing w:after="0" w:line="14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After-tax Corporate expenses for 2021 increased 51.6% when compared to 2020 due mainly to a $16.2 million decrease in excess tax benefits on stock compensation and a $3.2 million increase in after-tax stock option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Versus 2019 – Consolidated Results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Set forth below are the year-to-year changes in the components of the statement of operations relating to income for 2020 versus 2019 (in thousands, except percentages):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6"/>
                <w:szCs w:val="16"/>
                <w:b w:val="1"/>
                <w:bCs w:val="1"/>
                <w:color w:val="auto"/>
              </w:rPr>
              <w:t>Favorable/(Unfavorable)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Service revenues and sales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6"/>
                <w:szCs w:val="16"/>
                <w:color w:val="auto"/>
              </w:rPr>
              <w:t>VITAS</w:t>
            </w:r>
          </w:p>
        </w:tc>
        <w:tc>
          <w:tcPr>
            <w:tcW w:w="1740" w:type="dxa"/>
            <w:vAlign w:val="bottom"/>
            <w:gridSpan w:val="5"/>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53,483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ind w:left="220"/>
              <w:spacing w:after="0"/>
              <w:rPr>
                <w:sz w:val="20"/>
                <w:szCs w:val="20"/>
                <w:color w:val="auto"/>
              </w:rPr>
            </w:pPr>
            <w:r>
              <w:rPr>
                <w:rFonts w:ascii="Arial" w:cs="Arial" w:eastAsia="Arial" w:hAnsi="Arial"/>
                <w:sz w:val="16"/>
                <w:szCs w:val="16"/>
                <w:color w:val="auto"/>
              </w:rPr>
              <w:t>Roto-Rooter</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87,545</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400"/>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141,028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Cost of services provided and goods sold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(57,071)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(24,506)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(5,726)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Amortization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(5,652)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84,227</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132,300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Interest expense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2,180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Other income - net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134,381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Income taxes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(34,838)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3"/>
        </w:trPr>
        <w:tc>
          <w:tcPr>
            <w:tcW w:w="6400" w:type="dxa"/>
            <w:vAlign w:val="bottom"/>
          </w:tcPr>
          <w:p>
            <w:pPr>
              <w:ind w:left="340"/>
              <w:spacing w:after="0" w:line="183" w:lineRule="exact"/>
              <w:rPr>
                <w:sz w:val="20"/>
                <w:szCs w:val="20"/>
                <w:color w:val="auto"/>
              </w:rPr>
            </w:pPr>
            <w:r>
              <w:rPr>
                <w:rFonts w:ascii="Arial" w:cs="Arial" w:eastAsia="Arial" w:hAnsi="Arial"/>
                <w:sz w:val="16"/>
                <w:szCs w:val="16"/>
                <w:color w:val="auto"/>
              </w:rPr>
              <w:t>Net income</w:t>
            </w:r>
          </w:p>
        </w:tc>
        <w:tc>
          <w:tcPr>
            <w:tcW w:w="1740" w:type="dxa"/>
            <w:vAlign w:val="bottom"/>
            <w:gridSpan w:val="5"/>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99,543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660"/>
              <w:spacing w:after="0"/>
              <w:rPr>
                <w:sz w:val="20"/>
                <w:szCs w:val="20"/>
                <w:color w:val="auto"/>
              </w:rPr>
            </w:pPr>
            <w:r>
              <w:rPr>
                <w:rFonts w:ascii="Arial" w:cs="Arial" w:eastAsia="Arial" w:hAnsi="Arial"/>
                <w:sz w:val="18"/>
                <w:szCs w:val="18"/>
                <w:color w:val="auto"/>
              </w:rPr>
              <w:t>The VITAS segment revenue is as follows (dollars in thousands):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400" w:type="dxa"/>
            <w:vAlign w:val="bottom"/>
          </w:tcPr>
          <w:p>
            <w:pPr>
              <w:spacing w:after="0"/>
              <w:rPr>
                <w:sz w:val="20"/>
                <w:szCs w:val="20"/>
                <w:color w:val="auto"/>
              </w:rPr>
            </w:pPr>
            <w:r>
              <w:rPr>
                <w:rFonts w:ascii="Arial" w:cs="Arial" w:eastAsia="Arial" w:hAnsi="Arial"/>
                <w:sz w:val="16"/>
                <w:szCs w:val="16"/>
                <w:color w:val="auto"/>
              </w:rPr>
              <w:t>Routine homecare</w:t>
            </w:r>
          </w:p>
        </w:tc>
        <w:tc>
          <w:tcPr>
            <w:tcW w:w="1960" w:type="dxa"/>
            <w:vAlign w:val="bottom"/>
            <w:gridSpan w:val="6"/>
          </w:tcPr>
          <w:p>
            <w:pPr>
              <w:ind w:left="17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1,106,358</w:t>
            </w:r>
          </w:p>
        </w:tc>
        <w:tc>
          <w:tcPr>
            <w:tcW w:w="2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1,076,025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Continuous care</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40"/>
              <w:spacing w:after="0" w:line="162" w:lineRule="exact"/>
              <w:rPr>
                <w:sz w:val="20"/>
                <w:szCs w:val="20"/>
                <w:color w:val="auto"/>
              </w:rPr>
            </w:pPr>
            <w:r>
              <w:rPr>
                <w:rFonts w:ascii="Arial" w:cs="Arial" w:eastAsia="Arial" w:hAnsi="Arial"/>
                <w:sz w:val="16"/>
                <w:szCs w:val="16"/>
                <w:b w:val="1"/>
                <w:bCs w:val="1"/>
                <w:color w:val="auto"/>
              </w:rPr>
              <w:t>136,011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133,473</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Inpatient care</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40"/>
              <w:spacing w:after="0" w:line="162" w:lineRule="exact"/>
              <w:rPr>
                <w:sz w:val="20"/>
                <w:szCs w:val="20"/>
                <w:color w:val="auto"/>
              </w:rPr>
            </w:pPr>
            <w:r>
              <w:rPr>
                <w:rFonts w:ascii="Arial" w:cs="Arial" w:eastAsia="Arial" w:hAnsi="Arial"/>
                <w:sz w:val="16"/>
                <w:szCs w:val="16"/>
                <w:b w:val="1"/>
                <w:bCs w:val="1"/>
                <w:color w:val="auto"/>
              </w:rPr>
              <w:t>114,956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99,920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40"/>
              <w:spacing w:after="0" w:line="162" w:lineRule="exact"/>
              <w:rPr>
                <w:sz w:val="20"/>
                <w:szCs w:val="20"/>
                <w:color w:val="auto"/>
              </w:rPr>
            </w:pPr>
            <w:r>
              <w:rPr>
                <w:rFonts w:ascii="Arial" w:cs="Arial" w:eastAsia="Arial" w:hAnsi="Arial"/>
                <w:sz w:val="16"/>
                <w:szCs w:val="16"/>
                <w:b w:val="1"/>
                <w:bCs w:val="1"/>
                <w:color w:val="auto"/>
              </w:rPr>
              <w:t>11,164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10,433</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Medicare cap adjustment</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(6,678)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(12,415)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Implicit price concessions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Arial" w:cs="Arial" w:eastAsia="Arial" w:hAnsi="Arial"/>
                <w:sz w:val="16"/>
                <w:szCs w:val="16"/>
                <w:b w:val="1"/>
                <w:bCs w:val="1"/>
                <w:color w:val="auto"/>
              </w:rPr>
              <w:t>(14,970)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(14,893)</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20"/>
                <w:szCs w:val="20"/>
                <w:color w:val="auto"/>
              </w:rPr>
            </w:pPr>
            <w:r>
              <w:rPr>
                <w:rFonts w:ascii="Arial" w:cs="Arial" w:eastAsia="Arial" w:hAnsi="Arial"/>
                <w:sz w:val="16"/>
                <w:szCs w:val="16"/>
                <w:color w:val="auto"/>
              </w:rPr>
              <w:t>Room and board, net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(12,174)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155"/>
        </w:trPr>
        <w:tc>
          <w:tcPr>
            <w:tcW w:w="6400" w:type="dxa"/>
            <w:vAlign w:val="bottom"/>
          </w:tcPr>
          <w:p>
            <w:pPr>
              <w:spacing w:after="0" w:line="155" w:lineRule="exact"/>
              <w:rPr>
                <w:sz w:val="20"/>
                <w:szCs w:val="20"/>
                <w:color w:val="auto"/>
              </w:rPr>
            </w:pPr>
            <w:r>
              <w:rPr>
                <w:rFonts w:ascii="Arial" w:cs="Arial" w:eastAsia="Arial" w:hAnsi="Arial"/>
                <w:sz w:val="16"/>
                <w:szCs w:val="16"/>
                <w:color w:val="auto"/>
              </w:rPr>
              <w:t>Net revenue</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gridSpan w:val="4"/>
          </w:tcPr>
          <w:p>
            <w:pPr>
              <w:jc w:val="right"/>
              <w:ind w:right="40"/>
              <w:spacing w:after="0" w:line="155" w:lineRule="exact"/>
              <w:rPr>
                <w:sz w:val="20"/>
                <w:szCs w:val="20"/>
                <w:color w:val="auto"/>
              </w:rPr>
            </w:pPr>
            <w:r>
              <w:rPr>
                <w:rFonts w:ascii="Arial" w:cs="Arial" w:eastAsia="Arial" w:hAnsi="Arial"/>
                <w:sz w:val="16"/>
                <w:szCs w:val="16"/>
                <w:b w:val="1"/>
                <w:bCs w:val="1"/>
                <w:color w:val="auto"/>
              </w:rPr>
              <w:t>1,334,667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6"/>
                <w:szCs w:val="16"/>
                <w:color w:val="auto"/>
              </w:rPr>
              <w:t>1,281,184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660"/>
              <w:spacing w:after="0"/>
              <w:rPr>
                <w:sz w:val="20"/>
                <w:szCs w:val="20"/>
                <w:color w:val="auto"/>
              </w:rPr>
            </w:pPr>
            <w:r>
              <w:rPr>
                <w:rFonts w:ascii="Arial" w:cs="Arial" w:eastAsia="Arial" w:hAnsi="Arial"/>
                <w:sz w:val="18"/>
                <w:szCs w:val="18"/>
                <w:color w:val="auto"/>
              </w:rPr>
              <w:t>Days of care are as follows: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00" w:type="dxa"/>
            <w:vAlign w:val="bottom"/>
          </w:tcPr>
          <w:p>
            <w:pPr>
              <w:spacing w:after="0"/>
              <w:rPr>
                <w:sz w:val="24"/>
                <w:szCs w:val="24"/>
                <w:color w:val="auto"/>
              </w:rPr>
            </w:pPr>
          </w:p>
        </w:tc>
        <w:tc>
          <w:tcPr>
            <w:tcW w:w="196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w w:val="98"/>
              </w:rPr>
              <w:t>Days of Care</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1"/>
              </w:rPr>
              <w:t>Increase/(Decrease)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33"/>
        </w:trPr>
        <w:tc>
          <w:tcPr>
            <w:tcW w:w="6400" w:type="dxa"/>
            <w:vAlign w:val="bottom"/>
          </w:tcPr>
          <w:p>
            <w:pPr>
              <w:ind w:left="920"/>
              <w:spacing w:after="0"/>
              <w:rPr>
                <w:sz w:val="20"/>
                <w:szCs w:val="20"/>
                <w:color w:val="auto"/>
              </w:rPr>
            </w:pPr>
            <w:r>
              <w:rPr>
                <w:rFonts w:ascii="Arial" w:cs="Arial" w:eastAsia="Arial" w:hAnsi="Arial"/>
                <w:sz w:val="16"/>
                <w:szCs w:val="16"/>
                <w:color w:val="auto"/>
              </w:rPr>
              <w:t>Routine homecare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5,597,213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5,338,664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400" w:type="dxa"/>
            <w:vAlign w:val="bottom"/>
          </w:tcPr>
          <w:p>
            <w:pPr>
              <w:ind w:left="920"/>
              <w:spacing w:after="0"/>
              <w:rPr>
                <w:sz w:val="20"/>
                <w:szCs w:val="20"/>
                <w:color w:val="auto"/>
              </w:rPr>
            </w:pPr>
            <w:r>
              <w:rPr>
                <w:rFonts w:ascii="Arial" w:cs="Arial" w:eastAsia="Arial" w:hAnsi="Arial"/>
                <w:sz w:val="16"/>
                <w:szCs w:val="16"/>
                <w:color w:val="auto"/>
              </w:rPr>
              <w:t>Nursing home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1,097,493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1,224,264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5"/>
        </w:trPr>
        <w:tc>
          <w:tcPr>
            <w:tcW w:w="6400" w:type="dxa"/>
            <w:vAlign w:val="bottom"/>
          </w:tcPr>
          <w:p>
            <w:pPr>
              <w:ind w:left="920"/>
              <w:spacing w:after="0"/>
              <w:rPr>
                <w:sz w:val="20"/>
                <w:szCs w:val="20"/>
                <w:color w:val="auto"/>
              </w:rPr>
            </w:pPr>
            <w:r>
              <w:rPr>
                <w:rFonts w:ascii="Arial" w:cs="Arial" w:eastAsia="Arial" w:hAnsi="Arial"/>
                <w:sz w:val="16"/>
                <w:szCs w:val="16"/>
                <w:color w:val="auto"/>
              </w:rPr>
              <w:t>Respite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20,387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6400" w:type="dxa"/>
            <w:vAlign w:val="bottom"/>
          </w:tcPr>
          <w:p>
            <w:pPr>
              <w:ind w:left="1140"/>
              <w:spacing w:after="0"/>
              <w:rPr>
                <w:sz w:val="20"/>
                <w:szCs w:val="20"/>
                <w:color w:val="auto"/>
              </w:rPr>
            </w:pPr>
            <w:r>
              <w:rPr>
                <w:rFonts w:ascii="Arial" w:cs="Arial" w:eastAsia="Arial" w:hAnsi="Arial"/>
                <w:sz w:val="16"/>
                <w:szCs w:val="16"/>
                <w:color w:val="auto"/>
              </w:rPr>
              <w:t>Subtotal routine homecare and respite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6,715,093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6,591,785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400" w:type="dxa"/>
            <w:vAlign w:val="bottom"/>
          </w:tcPr>
          <w:p>
            <w:pPr>
              <w:ind w:left="920"/>
              <w:spacing w:after="0"/>
              <w:rPr>
                <w:sz w:val="20"/>
                <w:szCs w:val="20"/>
                <w:color w:val="auto"/>
              </w:rPr>
            </w:pPr>
            <w:r>
              <w:rPr>
                <w:rFonts w:ascii="Arial" w:cs="Arial" w:eastAsia="Arial" w:hAnsi="Arial"/>
                <w:sz w:val="16"/>
                <w:szCs w:val="16"/>
                <w:color w:val="auto"/>
              </w:rPr>
              <w:t>Continuous care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141,693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166,783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5"/>
        </w:trPr>
        <w:tc>
          <w:tcPr>
            <w:tcW w:w="6400" w:type="dxa"/>
            <w:vAlign w:val="bottom"/>
          </w:tcPr>
          <w:p>
            <w:pPr>
              <w:ind w:left="920"/>
              <w:spacing w:after="0"/>
              <w:rPr>
                <w:sz w:val="20"/>
                <w:szCs w:val="20"/>
                <w:color w:val="auto"/>
              </w:rPr>
            </w:pPr>
            <w:r>
              <w:rPr>
                <w:rFonts w:ascii="Arial" w:cs="Arial" w:eastAsia="Arial" w:hAnsi="Arial"/>
                <w:sz w:val="16"/>
                <w:szCs w:val="16"/>
                <w:color w:val="auto"/>
              </w:rPr>
              <w:t>General inpatient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112,718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120,063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6400" w:type="dxa"/>
            <w:vAlign w:val="bottom"/>
          </w:tcPr>
          <w:p>
            <w:pPr>
              <w:ind w:left="1140"/>
              <w:spacing w:after="0" w:line="183" w:lineRule="exact"/>
              <w:rPr>
                <w:sz w:val="20"/>
                <w:szCs w:val="20"/>
                <w:color w:val="auto"/>
              </w:rPr>
            </w:pPr>
            <w:r>
              <w:rPr>
                <w:rFonts w:ascii="Arial" w:cs="Arial" w:eastAsia="Arial" w:hAnsi="Arial"/>
                <w:sz w:val="16"/>
                <w:szCs w:val="16"/>
                <w:color w:val="auto"/>
              </w:rPr>
              <w:t>Total days of care</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6,969,504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6,878,631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remaining increase in VITAS’ revenues for 2020 versus 2019 was primarily comprised of a geographically weighted average Medicare reimbursement rate increase of approximately 4.5%, $6.7 million in Medicare cap revenue reductions compared to $12.4 million in Medicare cap revenue reductions in the same period of 2019, acuity mix shift, fluctuations in net room and board and contractual adjustments that negatively impacted revenue growth, when compared to the prior-year period.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The Roto-Rooter segment revenue is as follows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2019</w:t>
            </w:r>
          </w:p>
        </w:tc>
      </w:tr>
      <w:tr>
        <w:trPr>
          <w:trHeight w:val="291"/>
        </w:trPr>
        <w:tc>
          <w:tcPr>
            <w:tcW w:w="8140" w:type="dxa"/>
            <w:vAlign w:val="bottom"/>
          </w:tcPr>
          <w:p>
            <w:pPr>
              <w:spacing w:after="0"/>
              <w:rPr>
                <w:sz w:val="20"/>
                <w:szCs w:val="20"/>
                <w:color w:val="auto"/>
              </w:rPr>
            </w:pPr>
            <w:r>
              <w:rPr>
                <w:rFonts w:ascii="Arial" w:cs="Arial" w:eastAsia="Arial" w:hAnsi="Arial"/>
                <w:sz w:val="16"/>
                <w:szCs w:val="16"/>
                <w:color w:val="auto"/>
              </w:rPr>
              <w:t>Drain cleaning - short term core</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218,500</w:t>
            </w:r>
          </w:p>
        </w:tc>
        <w:tc>
          <w:tcPr>
            <w:tcW w:w="160" w:type="dxa"/>
            <w:vAlign w:val="bottom"/>
          </w:tcPr>
          <w:p>
            <w:pPr>
              <w:spacing w:after="0"/>
              <w:rPr>
                <w:sz w:val="24"/>
                <w:szCs w:val="24"/>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195,063</w:t>
            </w:r>
          </w:p>
        </w:tc>
      </w:tr>
      <w:tr>
        <w:trPr>
          <w:trHeight w:val="189"/>
        </w:trPr>
        <w:tc>
          <w:tcPr>
            <w:tcW w:w="8140" w:type="dxa"/>
            <w:vAlign w:val="bottom"/>
          </w:tcPr>
          <w:p>
            <w:pPr>
              <w:spacing w:after="0"/>
              <w:rPr>
                <w:sz w:val="20"/>
                <w:szCs w:val="20"/>
                <w:color w:val="auto"/>
              </w:rPr>
            </w:pPr>
            <w:r>
              <w:rPr>
                <w:rFonts w:ascii="Arial" w:cs="Arial" w:eastAsia="Arial" w:hAnsi="Arial"/>
                <w:sz w:val="16"/>
                <w:szCs w:val="16"/>
                <w:color w:val="auto"/>
              </w:rPr>
              <w:t>Plumbing - short term core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147,326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139,662</w:t>
            </w:r>
          </w:p>
        </w:tc>
      </w:tr>
      <w:tr>
        <w:trPr>
          <w:trHeight w:val="129"/>
        </w:trPr>
        <w:tc>
          <w:tcPr>
            <w:tcW w:w="8140" w:type="dxa"/>
            <w:vAlign w:val="bottom"/>
          </w:tcPr>
          <w:p>
            <w:pPr>
              <w:ind w:left="340"/>
              <w:spacing w:after="0" w:line="129" w:lineRule="exact"/>
              <w:rPr>
                <w:sz w:val="20"/>
                <w:szCs w:val="20"/>
                <w:color w:val="auto"/>
              </w:rPr>
            </w:pPr>
            <w:r>
              <w:rPr>
                <w:rFonts w:ascii="Arial" w:cs="Arial" w:eastAsia="Arial" w:hAnsi="Arial"/>
                <w:sz w:val="14"/>
                <w:szCs w:val="14"/>
                <w:color w:val="auto"/>
              </w:rPr>
              <w:t>Subtotal</w:t>
            </w:r>
          </w:p>
        </w:tc>
        <w:tc>
          <w:tcPr>
            <w:tcW w:w="3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365,826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4"/>
                <w:szCs w:val="14"/>
                <w:color w:val="auto"/>
              </w:rPr>
              <w:t>334,725</w:t>
            </w:r>
          </w:p>
        </w:tc>
      </w:tr>
      <w:tr>
        <w:trPr>
          <w:trHeight w:val="162"/>
        </w:trPr>
        <w:tc>
          <w:tcPr>
            <w:tcW w:w="8140" w:type="dxa"/>
            <w:vAlign w:val="bottom"/>
          </w:tcPr>
          <w:p>
            <w:pPr>
              <w:spacing w:after="0" w:line="162" w:lineRule="exact"/>
              <w:rPr>
                <w:sz w:val="20"/>
                <w:szCs w:val="20"/>
                <w:color w:val="auto"/>
              </w:rPr>
            </w:pPr>
            <w:r>
              <w:rPr>
                <w:rFonts w:ascii="Arial" w:cs="Arial" w:eastAsia="Arial" w:hAnsi="Arial"/>
                <w:sz w:val="16"/>
                <w:szCs w:val="16"/>
                <w:color w:val="auto"/>
              </w:rPr>
              <w:t>Excavation - short term core</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184,960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145,540</w:t>
            </w:r>
          </w:p>
        </w:tc>
      </w:tr>
      <w:tr>
        <w:trPr>
          <w:trHeight w:val="162"/>
        </w:trPr>
        <w:tc>
          <w:tcPr>
            <w:tcW w:w="8140" w:type="dxa"/>
            <w:vAlign w:val="bottom"/>
          </w:tcPr>
          <w:p>
            <w:pPr>
              <w:spacing w:after="0" w:line="162" w:lineRule="exact"/>
              <w:rPr>
                <w:sz w:val="20"/>
                <w:szCs w:val="20"/>
                <w:color w:val="auto"/>
              </w:rPr>
            </w:pPr>
            <w:r>
              <w:rPr>
                <w:rFonts w:ascii="Arial" w:cs="Arial" w:eastAsia="Arial" w:hAnsi="Arial"/>
                <w:sz w:val="16"/>
                <w:szCs w:val="16"/>
                <w:color w:val="auto"/>
              </w:rPr>
              <w:t>Water restoration</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126,378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115,949</w:t>
            </w:r>
          </w:p>
        </w:tc>
      </w:tr>
      <w:tr>
        <w:trPr>
          <w:trHeight w:val="162"/>
        </w:trPr>
        <w:tc>
          <w:tcPr>
            <w:tcW w:w="8140" w:type="dxa"/>
            <w:vAlign w:val="bottom"/>
          </w:tcPr>
          <w:p>
            <w:pPr>
              <w:spacing w:after="0" w:line="162" w:lineRule="exact"/>
              <w:rPr>
                <w:sz w:val="20"/>
                <w:szCs w:val="20"/>
                <w:color w:val="auto"/>
              </w:rPr>
            </w:pPr>
            <w:r>
              <w:rPr>
                <w:rFonts w:ascii="Arial" w:cs="Arial" w:eastAsia="Arial" w:hAnsi="Arial"/>
                <w:sz w:val="16"/>
                <w:szCs w:val="16"/>
                <w:color w:val="auto"/>
              </w:rPr>
              <w:t>Contractor operations</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64,727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58,086</w:t>
            </w:r>
          </w:p>
        </w:tc>
      </w:tr>
      <w:tr>
        <w:trPr>
          <w:trHeight w:val="162"/>
        </w:trPr>
        <w:tc>
          <w:tcPr>
            <w:tcW w:w="8140" w:type="dxa"/>
            <w:vAlign w:val="bottom"/>
          </w:tcPr>
          <w:p>
            <w:pPr>
              <w:spacing w:after="0" w:line="162" w:lineRule="exact"/>
              <w:rPr>
                <w:sz w:val="20"/>
                <w:szCs w:val="20"/>
                <w:color w:val="auto"/>
              </w:rPr>
            </w:pPr>
            <w:r>
              <w:rPr>
                <w:rFonts w:ascii="Arial" w:cs="Arial" w:eastAsia="Arial" w:hAnsi="Arial"/>
                <w:sz w:val="16"/>
                <w:szCs w:val="16"/>
                <w:color w:val="auto"/>
              </w:rPr>
              <w:t>Outside franchisee fees</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4,893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6,152</w:t>
            </w:r>
          </w:p>
        </w:tc>
      </w:tr>
      <w:tr>
        <w:trPr>
          <w:trHeight w:val="162"/>
        </w:trPr>
        <w:tc>
          <w:tcPr>
            <w:tcW w:w="8140" w:type="dxa"/>
            <w:vAlign w:val="bottom"/>
          </w:tcPr>
          <w:p>
            <w:pPr>
              <w:spacing w:after="0" w:line="162" w:lineRule="exact"/>
              <w:rPr>
                <w:sz w:val="20"/>
                <w:szCs w:val="20"/>
                <w:color w:val="auto"/>
              </w:rPr>
            </w:pPr>
            <w:r>
              <w:rPr>
                <w:rFonts w:ascii="Arial" w:cs="Arial" w:eastAsia="Arial" w:hAnsi="Arial"/>
                <w:sz w:val="16"/>
                <w:szCs w:val="16"/>
                <w:color w:val="auto"/>
              </w:rPr>
              <w:t>Other - short term core</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1,714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2,360</w:t>
            </w:r>
          </w:p>
        </w:tc>
      </w:tr>
      <w:tr>
        <w:trPr>
          <w:trHeight w:val="162"/>
        </w:trPr>
        <w:tc>
          <w:tcPr>
            <w:tcW w:w="814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13,537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12,279</w:t>
            </w:r>
          </w:p>
        </w:tc>
      </w:tr>
      <w:tr>
        <w:trPr>
          <w:trHeight w:val="189"/>
        </w:trPr>
        <w:tc>
          <w:tcPr>
            <w:tcW w:w="8140" w:type="dxa"/>
            <w:vAlign w:val="bottom"/>
          </w:tcPr>
          <w:p>
            <w:pPr>
              <w:spacing w:after="0"/>
              <w:rPr>
                <w:sz w:val="20"/>
                <w:szCs w:val="20"/>
                <w:color w:val="auto"/>
              </w:rPr>
            </w:pPr>
            <w:r>
              <w:rPr>
                <w:rFonts w:ascii="Arial" w:cs="Arial" w:eastAsia="Arial" w:hAnsi="Arial"/>
                <w:sz w:val="16"/>
                <w:szCs w:val="16"/>
                <w:color w:val="auto"/>
              </w:rPr>
              <w:t>Implicit price concessions and credit memos</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(17,119)</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(17,720)</w:t>
            </w:r>
          </w:p>
        </w:tc>
      </w:tr>
      <w:tr>
        <w:trPr>
          <w:trHeight w:val="155"/>
        </w:trPr>
        <w:tc>
          <w:tcPr>
            <w:tcW w:w="8140" w:type="dxa"/>
            <w:vAlign w:val="bottom"/>
          </w:tcPr>
          <w:p>
            <w:pPr>
              <w:ind w:left="660"/>
              <w:spacing w:after="0" w:line="155"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204"/>
              <w:spacing w:after="0" w:line="156" w:lineRule="exact"/>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744,916</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657,371</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All major lines of business at Roto-Rooter were impacted by the Oakland and HSW acquisitions that occurred during 2019 which increased revenue $49.9 million. The increase in drain cleaning revenues for 2020 versus 2019 is attributable to a 2.5% increase in price and service mix shift and a 9.5% increase in job count. The increase in plumbing revenues for 2020 versus 2019 is attributable to a 0.1% increase in price and service mix shift and a</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5.4% increase in job count. The increase in excavation revenues for 2020 versus 2019 is attributable to a 9.0% increase in price and service mix shift and an 18.1% increase in job count. Water restoration revenue for 2020 versus 2019 is attributable to a 2.8% increase in price and service mix shift and a 6.2% increase in job count. Contractor operations increased 11.4% mainly due to the HSW acquisition and their continued expansion into water restoration.</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consolidated gross margin excluding depreciation was 33.7% in 2020 versus 31.8% in 2019. On a segment basis, VITAS’ gross margin excluding depreciation was 24.3% in 2020 and 23.3% in 2019. The increase is primarily due to improved labor management. Roto-Rooter’s gross margin excluding depreciation was 50.7% in 2020 and 48.4% in 2019. The increase is primarily due to increased revenue covering more fixed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w w:val="94"/>
              </w:rPr>
              <w:t>Selling, general and administrative expenses (“SG&amp;A”) for 2020 and 2019 comprise (in thousands):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40" w:type="dxa"/>
            <w:vAlign w:val="bottom"/>
            <w:vMerge w:val="restart"/>
          </w:tcPr>
          <w:p>
            <w:pPr>
              <w:spacing w:after="0"/>
              <w:rPr>
                <w:sz w:val="20"/>
                <w:szCs w:val="20"/>
                <w:color w:val="auto"/>
              </w:rPr>
            </w:pPr>
            <w:r>
              <w:rPr>
                <w:rFonts w:ascii="Arial" w:cs="Arial" w:eastAsia="Arial" w:hAnsi="Arial"/>
                <w:sz w:val="18"/>
                <w:szCs w:val="18"/>
                <w:color w:val="auto"/>
              </w:rPr>
              <w:t>SG&amp;A expenses before long-term incentive compensation, and the impact of market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5"/>
        </w:trPr>
        <w:tc>
          <w:tcPr>
            <w:tcW w:w="8140" w:type="dxa"/>
            <w:vAlign w:val="bottom"/>
            <w:vMerge w:val="continue"/>
          </w:tcPr>
          <w:p>
            <w:pPr>
              <w:spacing w:after="0"/>
              <w:rPr>
                <w:sz w:val="13"/>
                <w:szCs w:val="13"/>
                <w:color w:val="auto"/>
              </w:rPr>
            </w:pPr>
          </w:p>
        </w:tc>
        <w:tc>
          <w:tcPr>
            <w:tcW w:w="360" w:type="dxa"/>
            <w:vAlign w:val="bottom"/>
            <w:vMerge w:val="restart"/>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313,348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80"/>
              <w:spacing w:after="0" w:line="185" w:lineRule="exact"/>
              <w:rPr>
                <w:sz w:val="20"/>
                <w:szCs w:val="20"/>
                <w:color w:val="auto"/>
              </w:rPr>
            </w:pPr>
            <w:r>
              <w:rPr>
                <w:rFonts w:ascii="Arial" w:cs="Arial" w:eastAsia="Arial" w:hAnsi="Arial"/>
                <w:sz w:val="18"/>
                <w:szCs w:val="18"/>
                <w:color w:val="auto"/>
              </w:rPr>
              <w:t>value adjustments related to deferred compensation trusts</w:t>
            </w: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tcPr>
          <w:p>
            <w:pPr>
              <w:jc w:val="right"/>
              <w:ind w:right="207"/>
              <w:spacing w:after="0" w:line="185"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5" w:lineRule="exact"/>
              <w:rPr>
                <w:sz w:val="20"/>
                <w:szCs w:val="20"/>
                <w:color w:val="auto"/>
              </w:rPr>
            </w:pPr>
            <w:r>
              <w:rPr>
                <w:rFonts w:ascii="Arial" w:cs="Arial" w:eastAsia="Arial" w:hAnsi="Arial"/>
                <w:sz w:val="18"/>
                <w:szCs w:val="18"/>
                <w:color w:val="auto"/>
              </w:rPr>
              <w:t>289,828</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Long-term incentive compensation</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8,937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8"/>
                <w:szCs w:val="18"/>
                <w:color w:val="auto"/>
              </w:rPr>
              <w:t>Impact of market value adjustments related to assets held in deferred compensation trusts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182"/>
        </w:trPr>
        <w:tc>
          <w:tcPr>
            <w:tcW w:w="8140" w:type="dxa"/>
            <w:vAlign w:val="bottom"/>
          </w:tcPr>
          <w:p>
            <w:pPr>
              <w:ind w:left="240"/>
              <w:spacing w:after="0" w:line="182" w:lineRule="exact"/>
              <w:rPr>
                <w:sz w:val="20"/>
                <w:szCs w:val="20"/>
                <w:color w:val="auto"/>
              </w:rPr>
            </w:pPr>
            <w:r>
              <w:rPr>
                <w:rFonts w:ascii="Arial" w:cs="Arial" w:eastAsia="Arial" w:hAnsi="Arial"/>
                <w:sz w:val="18"/>
                <w:szCs w:val="18"/>
                <w:color w:val="auto"/>
              </w:rPr>
              <w:t>Total SG&amp;A expenses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330,218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305,712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SG&amp;A expenses before long-term incentive compensation and the impact of market value adjustments related to deferred compensation trusts for 2020 were up 8.1% when compared to 2019. This increase was mainly a result of the increase in variable selling expenses caused by increased revenue and increased advertising expense at Roto-Rooter.</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Depreciation expense increased $5.7 million when compared to 2019 primarily due to new equipment purchased at Roto-Rooter related to the acquisitions completed in the second half of 2019.</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Amortization expense increased $5.7 million mainly as a result of reacquired franchise rights amortization from the Oakland and HSW acquisition completed in the second half of 2019.</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operating (income)/expense for 2020 and 2019 comprise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0"/>
        </w:trPr>
        <w:tc>
          <w:tcPr>
            <w:tcW w:w="4360" w:type="dxa"/>
            <w:vAlign w:val="bottom"/>
          </w:tcPr>
          <w:p>
            <w:pPr>
              <w:spacing w:after="0"/>
              <w:rPr>
                <w:sz w:val="20"/>
                <w:szCs w:val="20"/>
                <w:color w:val="auto"/>
              </w:rPr>
            </w:pPr>
            <w:r>
              <w:rPr>
                <w:rFonts w:ascii="Arial" w:cs="Arial" w:eastAsia="Arial" w:hAnsi="Arial"/>
                <w:sz w:val="18"/>
                <w:szCs w:val="18"/>
                <w:color w:val="auto"/>
              </w:rPr>
              <w:t>CARES Act grant income</w:t>
            </w:r>
          </w:p>
        </w:tc>
        <w:tc>
          <w:tcPr>
            <w:tcW w:w="414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(80,225)</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Litigation settlements</w:t>
            </w: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4,589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Loss on disposal of property and equipment</w:t>
            </w: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Loss on sale of transportation equipment</w:t>
            </w:r>
          </w:p>
        </w:tc>
        <w:tc>
          <w:tcPr>
            <w:tcW w:w="3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183"/>
        </w:trPr>
        <w:tc>
          <w:tcPr>
            <w:tcW w:w="4360" w:type="dxa"/>
            <w:vAlign w:val="bottom"/>
          </w:tcPr>
          <w:p>
            <w:pPr>
              <w:ind w:left="220"/>
              <w:spacing w:after="0" w:line="182" w:lineRule="exact"/>
              <w:rPr>
                <w:sz w:val="20"/>
                <w:szCs w:val="20"/>
                <w:color w:val="auto"/>
              </w:rPr>
            </w:pPr>
            <w:r>
              <w:rPr>
                <w:rFonts w:ascii="Arial" w:cs="Arial" w:eastAsia="Arial" w:hAnsi="Arial"/>
                <w:sz w:val="18"/>
                <w:szCs w:val="18"/>
                <w:color w:val="auto"/>
              </w:rPr>
              <w:t>Total other operating expenses</w:t>
            </w:r>
          </w:p>
        </w:tc>
        <w:tc>
          <w:tcPr>
            <w:tcW w:w="3780" w:type="dxa"/>
            <w:vAlign w:val="bottom"/>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(75,095)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780" w:type="dxa"/>
            <w:vAlign w:val="bottom"/>
            <w:vMerge w:val="restart"/>
          </w:tcPr>
          <w:p>
            <w:pPr>
              <w:jc w:val="right"/>
              <w:ind w:right="2330"/>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3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6540" w:type="dxa"/>
            <w:vAlign w:val="bottom"/>
          </w:tcPr>
          <w:p>
            <w:pPr>
              <w:ind w:left="660"/>
              <w:spacing w:after="0"/>
              <w:rPr>
                <w:sz w:val="20"/>
                <w:szCs w:val="20"/>
                <w:color w:val="auto"/>
              </w:rPr>
            </w:pPr>
            <w:r>
              <w:rPr>
                <w:rFonts w:ascii="Arial" w:cs="Arial" w:eastAsia="Arial" w:hAnsi="Arial"/>
                <w:sz w:val="18"/>
                <w:szCs w:val="18"/>
                <w:color w:val="auto"/>
              </w:rPr>
              <w:t>Other income-net for 2020 and 2019 comprise (in thousands):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540" w:type="dxa"/>
            <w:vAlign w:val="bottom"/>
          </w:tcPr>
          <w:p>
            <w:pPr>
              <w:spacing w:after="0"/>
              <w:rPr>
                <w:sz w:val="20"/>
                <w:szCs w:val="20"/>
                <w:color w:val="auto"/>
              </w:rPr>
            </w:pPr>
            <w:r>
              <w:rPr>
                <w:rFonts w:ascii="Arial" w:cs="Arial" w:eastAsia="Arial" w:hAnsi="Arial"/>
                <w:sz w:val="18"/>
                <w:szCs w:val="18"/>
                <w:color w:val="auto"/>
              </w:rPr>
              <w:t>Market value gains on assets held in deferred</w:t>
            </w:r>
          </w:p>
        </w:tc>
        <w:tc>
          <w:tcPr>
            <w:tcW w:w="1880" w:type="dxa"/>
            <w:vAlign w:val="bottom"/>
            <w:gridSpan w:val="3"/>
            <w:vMerge w:val="restart"/>
          </w:tcPr>
          <w:p>
            <w:pPr>
              <w:jc w:val="right"/>
              <w:ind w:right="12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7,933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540" w:type="dxa"/>
            <w:vAlign w:val="bottom"/>
          </w:tcPr>
          <w:p>
            <w:pPr>
              <w:ind w:left="140"/>
              <w:spacing w:after="0" w:line="185" w:lineRule="exact"/>
              <w:rPr>
                <w:sz w:val="20"/>
                <w:szCs w:val="20"/>
                <w:color w:val="auto"/>
              </w:rPr>
            </w:pPr>
            <w:r>
              <w:rPr>
                <w:rFonts w:ascii="Arial" w:cs="Arial" w:eastAsia="Arial" w:hAnsi="Arial"/>
                <w:sz w:val="18"/>
                <w:szCs w:val="18"/>
                <w:color w:val="auto"/>
              </w:rPr>
              <w:t>compensation trusts</w:t>
            </w:r>
          </w:p>
        </w:tc>
        <w:tc>
          <w:tcPr>
            <w:tcW w:w="18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185" w:lineRule="exact"/>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189"/>
        </w:trPr>
        <w:tc>
          <w:tcPr>
            <w:tcW w:w="6540" w:type="dxa"/>
            <w:vAlign w:val="bottom"/>
          </w:tcPr>
          <w:p>
            <w:pPr>
              <w:spacing w:after="0" w:line="189" w:lineRule="exact"/>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757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6540" w:type="dxa"/>
            <w:vAlign w:val="bottom"/>
          </w:tcPr>
          <w:p>
            <w:pPr>
              <w:ind w:left="240"/>
              <w:spacing w:after="0" w:line="182" w:lineRule="exact"/>
              <w:rPr>
                <w:sz w:val="20"/>
                <w:szCs w:val="20"/>
                <w:color w:val="auto"/>
              </w:rPr>
            </w:pPr>
            <w:r>
              <w:rPr>
                <w:rFonts w:ascii="Arial" w:cs="Arial" w:eastAsia="Arial" w:hAnsi="Arial"/>
                <w:sz w:val="18"/>
                <w:szCs w:val="18"/>
                <w:color w:val="auto"/>
              </w:rPr>
              <w:t>Total other income</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8,665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660"/>
              <w:spacing w:after="0"/>
              <w:rPr>
                <w:sz w:val="20"/>
                <w:szCs w:val="20"/>
                <w:color w:val="auto"/>
              </w:rPr>
            </w:pPr>
            <w:r>
              <w:rPr>
                <w:rFonts w:ascii="Arial" w:cs="Arial" w:eastAsia="Arial" w:hAnsi="Arial"/>
                <w:sz w:val="18"/>
                <w:szCs w:val="18"/>
                <w:color w:val="auto"/>
              </w:rPr>
              <w:t>Our effective tax rate reconciliation is as follows: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540" w:type="dxa"/>
            <w:vAlign w:val="bottom"/>
          </w:tcPr>
          <w:p>
            <w:pPr>
              <w:spacing w:after="0"/>
              <w:rPr>
                <w:sz w:val="20"/>
                <w:szCs w:val="20"/>
                <w:color w:val="auto"/>
              </w:rPr>
            </w:pPr>
            <w:r>
              <w:rPr>
                <w:rFonts w:ascii="Arial" w:cs="Arial" w:eastAsia="Arial" w:hAnsi="Arial"/>
                <w:sz w:val="18"/>
                <w:szCs w:val="18"/>
                <w:color w:val="auto"/>
              </w:rPr>
              <w:t>Income tax provision calculated using the statutory rate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83,158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Excess stock compensation tax benefits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(26,089)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State and local income taxes, less federal income tax effect</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Other--net</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540" w:type="dxa"/>
            <w:vAlign w:val="bottom"/>
          </w:tcPr>
          <w:p>
            <w:pPr>
              <w:ind w:left="220"/>
              <w:spacing w:after="0" w:line="196" w:lineRule="exact"/>
              <w:rPr>
                <w:sz w:val="20"/>
                <w:szCs w:val="20"/>
                <w:color w:val="auto"/>
              </w:rPr>
            </w:pPr>
            <w:r>
              <w:rPr>
                <w:rFonts w:ascii="Arial" w:cs="Arial" w:eastAsia="Arial" w:hAnsi="Arial"/>
                <w:sz w:val="18"/>
                <w:szCs w:val="18"/>
                <w:color w:val="auto"/>
              </w:rPr>
              <w:t>Income tax provision</w:t>
            </w:r>
          </w:p>
        </w:tc>
        <w:tc>
          <w:tcPr>
            <w:tcW w:w="1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76,524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Effective tax rate</w:t>
            </w: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69"/>
        </w:trPr>
        <w:tc>
          <w:tcPr>
            <w:tcW w:w="65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19.3</w:t>
            </w:r>
          </w:p>
        </w:tc>
        <w:tc>
          <w:tcPr>
            <w:tcW w:w="18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15.9</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for both periods include the following after-tax adjustments that increased/(reduced) after-tax earnings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r>
      <w:tr>
        <w:trPr>
          <w:trHeight w:val="217"/>
        </w:trPr>
        <w:tc>
          <w:tcPr>
            <w:tcW w:w="8140" w:type="dxa"/>
            <w:vAlign w:val="bottom"/>
          </w:tcPr>
          <w:p>
            <w:pPr>
              <w:spacing w:after="0"/>
              <w:rPr>
                <w:sz w:val="20"/>
                <w:szCs w:val="20"/>
                <w:color w:val="auto"/>
              </w:rPr>
            </w:pPr>
            <w:r>
              <w:rPr>
                <w:rFonts w:ascii="Arial" w:cs="Arial" w:eastAsia="Arial" w:hAnsi="Arial"/>
                <w:sz w:val="16"/>
                <w:szCs w:val="16"/>
                <w:color w:val="auto"/>
              </w:rPr>
              <w:t>VITAS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CARES Act grant income</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59,848</w:t>
            </w:r>
          </w:p>
        </w:tc>
        <w:tc>
          <w:tcPr>
            <w:tcW w:w="16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COVID-19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(26,430)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Medicare cap sequestration adjustment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(462)</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(2,965)</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Litigation settlements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(4,476)</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Non cash ASC 842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Roto-Rooter</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Amortization of reacquired franchise agreements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(6,914)</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(2,913)</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Direct costs related to COVID-19</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(2,808)</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Litigation settlements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(2,675)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Acquisition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(3,429)</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Non cash ASC 842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8140" w:type="dxa"/>
            <w:vAlign w:val="bottom"/>
          </w:tcPr>
          <w:p>
            <w:pPr>
              <w:spacing w:after="0"/>
              <w:rPr>
                <w:sz w:val="20"/>
                <w:szCs w:val="20"/>
                <w:color w:val="auto"/>
              </w:rPr>
            </w:pPr>
            <w:r>
              <w:rPr>
                <w:rFonts w:ascii="Arial" w:cs="Arial" w:eastAsia="Arial" w:hAnsi="Arial"/>
                <w:sz w:val="16"/>
                <w:szCs w:val="16"/>
                <w:color w:val="auto"/>
              </w:rPr>
              <w:t>Corporate</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Excess tax benefits on stock compensation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26,089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24,177</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Stock option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(15,700)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(12,237)</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Long-term incentive compensation</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(7,895)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(6,440)</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Loss on sale of transportation equipment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(1,733)</w:t>
            </w:r>
          </w:p>
        </w:tc>
      </w:tr>
      <w:tr>
        <w:trPr>
          <w:trHeight w:val="216"/>
        </w:trPr>
        <w:tc>
          <w:tcPr>
            <w:tcW w:w="8140" w:type="dxa"/>
            <w:vAlign w:val="bottom"/>
          </w:tcPr>
          <w:p>
            <w:pPr>
              <w:ind w:left="340"/>
              <w:spacing w:after="0"/>
              <w:rPr>
                <w:sz w:val="20"/>
                <w:szCs w:val="20"/>
                <w:color w:val="auto"/>
              </w:rPr>
            </w:pPr>
            <w:r>
              <w:rPr>
                <w:rFonts w:ascii="Arial" w:cs="Arial" w:eastAsia="Arial" w:hAnsi="Arial"/>
                <w:sz w:val="16"/>
                <w:szCs w:val="16"/>
                <w:color w:val="auto"/>
              </w:rPr>
              <w:t>Acquisition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195"/>
        </w:trPr>
        <w:tc>
          <w:tcPr>
            <w:tcW w:w="8140" w:type="dxa"/>
            <w:vAlign w:val="bottom"/>
          </w:tcPr>
          <w:p>
            <w:pPr>
              <w:ind w:left="340"/>
              <w:spacing w:after="0"/>
              <w:rPr>
                <w:sz w:val="20"/>
                <w:szCs w:val="20"/>
                <w:color w:val="auto"/>
              </w:rPr>
            </w:pPr>
            <w:r>
              <w:rPr>
                <w:rFonts w:ascii="Arial" w:cs="Arial" w:eastAsia="Arial" w:hAnsi="Arial"/>
                <w:sz w:val="16"/>
                <w:szCs w:val="16"/>
                <w:color w:val="auto"/>
              </w:rPr>
              <w:t>Non cash ASC 842 expense</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183"/>
        </w:trPr>
        <w:tc>
          <w:tcPr>
            <w:tcW w:w="8140" w:type="dxa"/>
            <w:vAlign w:val="bottom"/>
          </w:tcPr>
          <w:p>
            <w:pPr>
              <w:ind w:left="660"/>
              <w:spacing w:after="0" w:line="183"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23,053</w:t>
            </w:r>
          </w:p>
        </w:tc>
        <w:tc>
          <w:tcPr>
            <w:tcW w:w="16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(10,550)</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2020 Versus 2019 – Segment Results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income/(loss) for 2020 versus 2019 (in thousand):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2019</w:t>
            </w:r>
          </w:p>
        </w:tc>
      </w:tr>
      <w:tr>
        <w:trPr>
          <w:trHeight w:val="433"/>
        </w:trPr>
        <w:tc>
          <w:tcPr>
            <w:tcW w:w="4400" w:type="dxa"/>
            <w:vAlign w:val="bottom"/>
          </w:tcPr>
          <w:p>
            <w:pPr>
              <w:spacing w:after="0"/>
              <w:rPr>
                <w:sz w:val="20"/>
                <w:szCs w:val="20"/>
                <w:color w:val="auto"/>
              </w:rPr>
            </w:pPr>
            <w:r>
              <w:rPr>
                <w:rFonts w:ascii="Arial" w:cs="Arial" w:eastAsia="Arial" w:hAnsi="Arial"/>
                <w:sz w:val="16"/>
                <w:szCs w:val="16"/>
                <w:color w:val="auto"/>
              </w:rPr>
              <w:t>VITAS</w:t>
            </w:r>
          </w:p>
        </w:tc>
        <w:tc>
          <w:tcPr>
            <w:tcW w:w="3960" w:type="dxa"/>
            <w:vAlign w:val="bottom"/>
            <w:gridSpan w:val="2"/>
          </w:tcPr>
          <w:p>
            <w:pPr>
              <w:jc w:val="right"/>
              <w:ind w:right="224"/>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ind w:left="520"/>
              <w:spacing w:after="0"/>
              <w:rPr>
                <w:sz w:val="20"/>
                <w:szCs w:val="20"/>
                <w:color w:val="auto"/>
              </w:rPr>
            </w:pPr>
            <w:r>
              <w:rPr>
                <w:rFonts w:ascii="Arial" w:cs="Arial" w:eastAsia="Arial" w:hAnsi="Arial"/>
                <w:sz w:val="16"/>
                <w:szCs w:val="16"/>
                <w:b w:val="1"/>
                <w:bCs w:val="1"/>
                <w:color w:val="auto"/>
                <w:w w:val="93"/>
              </w:rPr>
              <w:t>238,782</w:t>
            </w:r>
          </w:p>
        </w:tc>
        <w:tc>
          <w:tcPr>
            <w:tcW w:w="180" w:type="dxa"/>
            <w:vAlign w:val="bottom"/>
          </w:tcPr>
          <w:p>
            <w:pPr>
              <w:spacing w:after="0"/>
              <w:rPr>
                <w:sz w:val="24"/>
                <w:szCs w:val="24"/>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520"/>
              <w:spacing w:after="0"/>
              <w:rPr>
                <w:sz w:val="20"/>
                <w:szCs w:val="20"/>
                <w:color w:val="auto"/>
              </w:rPr>
            </w:pPr>
            <w:r>
              <w:rPr>
                <w:rFonts w:ascii="Arial" w:cs="Arial" w:eastAsia="Arial" w:hAnsi="Arial"/>
                <w:sz w:val="16"/>
                <w:szCs w:val="16"/>
                <w:color w:val="auto"/>
                <w:w w:val="93"/>
              </w:rPr>
              <w:t>155,822</w:t>
            </w: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Roto-Rooter</w:t>
            </w: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Arial" w:cs="Arial" w:eastAsia="Arial" w:hAnsi="Arial"/>
                <w:sz w:val="16"/>
                <w:szCs w:val="16"/>
                <w:b w:val="1"/>
                <w:bCs w:val="1"/>
                <w:color w:val="auto"/>
                <w:w w:val="93"/>
              </w:rPr>
              <w:t>120,394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Arial" w:cs="Arial" w:eastAsia="Arial" w:hAnsi="Arial"/>
                <w:sz w:val="16"/>
                <w:szCs w:val="16"/>
                <w:color w:val="auto"/>
                <w:w w:val="93"/>
              </w:rPr>
              <w:t>103,710</w:t>
            </w:r>
          </w:p>
        </w:tc>
      </w:tr>
      <w:tr>
        <w:trPr>
          <w:trHeight w:val="195"/>
        </w:trPr>
        <w:tc>
          <w:tcPr>
            <w:tcW w:w="4400" w:type="dxa"/>
            <w:vAlign w:val="bottom"/>
          </w:tcPr>
          <w:p>
            <w:pPr>
              <w:spacing w:after="0"/>
              <w:rPr>
                <w:sz w:val="20"/>
                <w:szCs w:val="20"/>
                <w:color w:val="auto"/>
              </w:rPr>
            </w:pPr>
            <w:r>
              <w:rPr>
                <w:rFonts w:ascii="Arial" w:cs="Arial" w:eastAsia="Arial" w:hAnsi="Arial"/>
                <w:sz w:val="16"/>
                <w:szCs w:val="16"/>
                <w:color w:val="auto"/>
              </w:rPr>
              <w:t>Corporate</w:t>
            </w:r>
          </w:p>
        </w:tc>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ind w:left="540"/>
              <w:spacing w:after="0"/>
              <w:rPr>
                <w:sz w:val="20"/>
                <w:szCs w:val="20"/>
                <w:color w:val="auto"/>
              </w:rPr>
            </w:pPr>
            <w:r>
              <w:rPr>
                <w:rFonts w:ascii="Arial" w:cs="Arial" w:eastAsia="Arial" w:hAnsi="Arial"/>
                <w:sz w:val="16"/>
                <w:szCs w:val="16"/>
                <w:b w:val="1"/>
                <w:bCs w:val="1"/>
                <w:color w:val="auto"/>
              </w:rPr>
              <w:t>(39,710)</w:t>
            </w:r>
          </w:p>
        </w:tc>
        <w:tc>
          <w:tcPr>
            <w:tcW w:w="36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6"/>
                <w:szCs w:val="16"/>
                <w:color w:val="auto"/>
                <w:w w:val="87"/>
              </w:rPr>
              <w:t>(39,609)</w:t>
            </w:r>
          </w:p>
        </w:tc>
      </w:tr>
      <w:tr>
        <w:trPr>
          <w:trHeight w:val="183"/>
        </w:trPr>
        <w:tc>
          <w:tcPr>
            <w:tcW w:w="44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ind w:left="520"/>
              <w:spacing w:after="0" w:line="183" w:lineRule="exact"/>
              <w:rPr>
                <w:sz w:val="20"/>
                <w:szCs w:val="20"/>
                <w:color w:val="auto"/>
              </w:rPr>
            </w:pPr>
            <w:r>
              <w:rPr>
                <w:rFonts w:ascii="Arial" w:cs="Arial" w:eastAsia="Arial" w:hAnsi="Arial"/>
                <w:sz w:val="16"/>
                <w:szCs w:val="16"/>
                <w:b w:val="1"/>
                <w:bCs w:val="1"/>
                <w:color w:val="auto"/>
                <w:w w:val="93"/>
              </w:rPr>
              <w:t>319,466</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520"/>
              <w:spacing w:after="0" w:line="183" w:lineRule="exact"/>
              <w:rPr>
                <w:sz w:val="20"/>
                <w:szCs w:val="20"/>
                <w:color w:val="auto"/>
              </w:rPr>
            </w:pPr>
            <w:r>
              <w:rPr>
                <w:rFonts w:ascii="Arial" w:cs="Arial" w:eastAsia="Arial" w:hAnsi="Arial"/>
                <w:sz w:val="16"/>
                <w:szCs w:val="16"/>
                <w:color w:val="auto"/>
                <w:w w:val="93"/>
              </w:rPr>
              <w:t>219,923</w:t>
            </w:r>
          </w:p>
        </w:tc>
      </w:tr>
      <w:tr>
        <w:trPr>
          <w:trHeight w:val="20"/>
        </w:trPr>
        <w:tc>
          <w:tcPr>
            <w:tcW w:w="4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VITAS’ after-tax earnings were positively impacted in 2020 compared to 2019 due to higher revenue and improved labor management and ancillary costs, the recognition of $59.8 million in CARES Act grant income offset by $26.4 million in direct costs related to COVID-19. After-tax earnings as a percent of revenue at VITAS in 2020 was 17.9% as compared to 12.2% in 2019.</w:t>
      </w:r>
    </w:p>
    <w:p>
      <w:pPr>
        <w:spacing w:after="0" w:line="148"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Roto-Rooter’s net income was positively impacted in 2020 compared to 2019 primarily by an increase in revenue offset by increased depreciation and amortization expense. After-tax earnings as a percent of revenue at Roto-Rooter in 2020 was 16.2% as compared to 15.8% in 2019.</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After-tax Corporate expenses for 2020 were essentially flat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auto"/>
        </w:rPr>
        <w:t>CRITICAL ACCOUNTING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In May 2014, the FASB issued Accounting Standards Update “ASU No. 2014-09 – Revenue from Contracts with Customers.” The standard and subsequent amendments are theoretically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(“ASC606”). We adopted ASC 606 effective January 1, 2018. The required disclosures of ASC 606 and impact of adoption are discussed below for each of our operating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VITAS</w:t>
      </w:r>
    </w:p>
    <w:p>
      <w:pPr>
        <w:spacing w:after="0" w:line="17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includes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spacing w:after="0" w:line="1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 xml:space="preserve">Hospice services are provided on a daily basis and the type of service provided is determined based on a physician’s determination of each patient’s specific needs on that given day. Reimbursement rates for hospice services are on a </w:t>
      </w:r>
      <w:r>
        <w:rPr>
          <w:rFonts w:ascii="Arial" w:cs="Arial" w:eastAsia="Arial" w:hAnsi="Arial"/>
          <w:sz w:val="17"/>
          <w:szCs w:val="17"/>
          <w:i w:val="1"/>
          <w:iCs w:val="1"/>
          <w:color w:val="auto"/>
        </w:rPr>
        <w:t>per diem</w:t>
      </w:r>
      <w:r>
        <w:rPr>
          <w:rFonts w:ascii="Arial" w:cs="Arial" w:eastAsia="Arial" w:hAnsi="Arial"/>
          <w:sz w:val="17"/>
          <w:szCs w:val="17"/>
          <w:color w:val="auto"/>
        </w:rPr>
        <w:t xml:space="preserve">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148" w:lineRule="exact"/>
        <w:rPr>
          <w:sz w:val="20"/>
          <w:szCs w:val="20"/>
          <w:color w:val="auto"/>
        </w:rPr>
      </w:pPr>
    </w:p>
    <w:p>
      <w:pPr>
        <w:jc w:val="both"/>
        <w:ind w:left="1300"/>
        <w:spacing w:after="0" w:line="227" w:lineRule="auto"/>
        <w:rPr>
          <w:sz w:val="20"/>
          <w:szCs w:val="20"/>
          <w:color w:val="auto"/>
        </w:rPr>
      </w:pPr>
      <w:r>
        <w:rPr>
          <w:rFonts w:ascii="Arial" w:cs="Arial" w:eastAsia="Arial" w:hAnsi="Arial"/>
          <w:sz w:val="18"/>
          <w:szCs w:val="18"/>
          <w:i w:val="1"/>
          <w:iCs w:val="1"/>
          <w:color w:val="auto"/>
        </w:rPr>
        <w:t xml:space="preserve">Routine Home Care </w:t>
      </w:r>
      <w:r>
        <w:rPr>
          <w:rFonts w:ascii="Arial" w:cs="Arial" w:eastAsia="Arial" w:hAnsi="Arial"/>
          <w:sz w:val="18"/>
          <w:szCs w:val="18"/>
          <w:color w:val="auto"/>
        </w:rPr>
        <w:t>occurs when a patient receives hospice care in their home, including a nursing home setting. The routine home care</w:t>
      </w:r>
      <w:r>
        <w:rPr>
          <w:rFonts w:ascii="Arial" w:cs="Arial" w:eastAsia="Arial" w:hAnsi="Arial"/>
          <w:sz w:val="18"/>
          <w:szCs w:val="18"/>
          <w:i w:val="1"/>
          <w:iCs w:val="1"/>
          <w:color w:val="auto"/>
        </w:rPr>
        <w:t xml:space="preserve"> </w:t>
      </w:r>
      <w:r>
        <w:rPr>
          <w:rFonts w:ascii="Arial" w:cs="Arial" w:eastAsia="Arial" w:hAnsi="Arial"/>
          <w:sz w:val="18"/>
          <w:szCs w:val="18"/>
          <w:color w:val="auto"/>
        </w:rPr>
        <w:t>rate is 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148" w:lineRule="exact"/>
        <w:rPr>
          <w:sz w:val="20"/>
          <w:szCs w:val="20"/>
          <w:color w:val="auto"/>
        </w:rPr>
      </w:pPr>
    </w:p>
    <w:p>
      <w:pPr>
        <w:jc w:val="both"/>
        <w:ind w:left="1300"/>
        <w:spacing w:after="0" w:line="231" w:lineRule="auto"/>
        <w:rPr>
          <w:sz w:val="20"/>
          <w:szCs w:val="20"/>
          <w:color w:val="auto"/>
        </w:rPr>
      </w:pPr>
      <w:r>
        <w:rPr>
          <w:rFonts w:ascii="Arial" w:cs="Arial" w:eastAsia="Arial" w:hAnsi="Arial"/>
          <w:sz w:val="18"/>
          <w:szCs w:val="18"/>
          <w:i w:val="1"/>
          <w:iCs w:val="1"/>
          <w:color w:val="auto"/>
        </w:rPr>
        <w:t xml:space="preserve">General Inpatient Care </w:t>
      </w:r>
      <w:r>
        <w:rPr>
          <w:rFonts w:ascii="Arial" w:cs="Arial" w:eastAsia="Arial" w:hAnsi="Arial"/>
          <w:sz w:val="18"/>
          <w:szCs w:val="18"/>
          <w:color w:val="auto"/>
        </w:rPr>
        <w:t>occurs when a patient requires services in a controlled setting for a short period of time for pain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148" w:lineRule="exact"/>
        <w:rPr>
          <w:sz w:val="20"/>
          <w:szCs w:val="20"/>
          <w:color w:val="auto"/>
        </w:rPr>
      </w:pPr>
    </w:p>
    <w:p>
      <w:pPr>
        <w:jc w:val="both"/>
        <w:ind w:left="1300"/>
        <w:spacing w:after="0" w:line="227" w:lineRule="auto"/>
        <w:rPr>
          <w:sz w:val="20"/>
          <w:szCs w:val="20"/>
          <w:color w:val="auto"/>
        </w:rPr>
      </w:pPr>
      <w:r>
        <w:rPr>
          <w:rFonts w:ascii="Arial" w:cs="Arial" w:eastAsia="Arial" w:hAnsi="Arial"/>
          <w:sz w:val="18"/>
          <w:szCs w:val="18"/>
          <w:i w:val="1"/>
          <w:iCs w:val="1"/>
          <w:color w:val="auto"/>
        </w:rPr>
        <w:t xml:space="preserve">Continuous Home Care </w:t>
      </w:r>
      <w:r>
        <w:rPr>
          <w:rFonts w:ascii="Arial" w:cs="Arial" w:eastAsia="Arial" w:hAnsi="Arial"/>
          <w:sz w:val="18"/>
          <w:szCs w:val="18"/>
          <w:color w:val="auto"/>
        </w:rPr>
        <w:t>is provided to patients while at home, including a nursing home setting, during periods of crisis when intensive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and care, primarily nursing care, is required in order to achieve palliation or management of acute medical symptoms. Continuous home care requires a minimum of 8 hours of care within a 24 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148" w:lineRule="exact"/>
        <w:rPr>
          <w:sz w:val="20"/>
          <w:szCs w:val="20"/>
          <w:color w:val="auto"/>
        </w:rPr>
      </w:pPr>
    </w:p>
    <w:p>
      <w:pPr>
        <w:jc w:val="both"/>
        <w:ind w:left="1300"/>
        <w:spacing w:after="0" w:line="276" w:lineRule="auto"/>
        <w:rPr>
          <w:sz w:val="20"/>
          <w:szCs w:val="20"/>
          <w:color w:val="auto"/>
        </w:rPr>
      </w:pPr>
      <w:r>
        <w:rPr>
          <w:rFonts w:ascii="Arial" w:cs="Arial" w:eastAsia="Arial" w:hAnsi="Arial"/>
          <w:sz w:val="16"/>
          <w:szCs w:val="16"/>
          <w:i w:val="1"/>
          <w:iCs w:val="1"/>
          <w:color w:val="auto"/>
        </w:rPr>
        <w:t xml:space="preserve">Respite Care </w:t>
      </w:r>
      <w:r>
        <w:rPr>
          <w:rFonts w:ascii="Arial" w:cs="Arial" w:eastAsia="Arial" w:hAnsi="Arial"/>
          <w:sz w:val="16"/>
          <w:szCs w:val="16"/>
          <w:color w:val="auto"/>
        </w:rPr>
        <w:t>permits a hospice patient to receive services on an inpatient basis for a short period of time in order to provide relief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2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jc w:val="both"/>
        <w:spacing w:after="0" w:line="228" w:lineRule="auto"/>
        <w:rPr>
          <w:sz w:val="20"/>
          <w:szCs w:val="20"/>
          <w:color w:val="auto"/>
        </w:rPr>
      </w:pPr>
      <w:r>
        <w:rPr>
          <w:rFonts w:ascii="Arial" w:cs="Arial" w:eastAsia="Arial" w:hAnsi="Arial"/>
          <w:sz w:val="18"/>
          <w:szCs w:val="18"/>
          <w:color w:val="auto"/>
        </w:rPr>
        <w:t>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 months after discharge.</w:t>
      </w:r>
    </w:p>
    <w:p>
      <w:pPr>
        <w:spacing w:after="0" w:line="15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during the years ended December 31, 2021, 2020 and 2019, was $8.5 million, $8.1 million and $9.0 million, respectively and is included in cost of services provided and goods sold. The cost of charity care is calculated by taking the ratio of charity care days to total days of care and multiplying by total cost of care.</w:t>
      </w:r>
    </w:p>
    <w:p>
      <w:pPr>
        <w:spacing w:after="0" w:line="1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spacing w:after="0" w:line="150"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Laws and regulations concerning government programs, including Medicare and Medicaid, are complex and subject to varying interpretation. Compliance with such laws and regulations may be subject to future government review and interpretation.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certain limitations on Medicare payments for services which are considered variable consideration, as follows:</w:t>
      </w:r>
    </w:p>
    <w:p>
      <w:pPr>
        <w:spacing w:after="0" w:line="171" w:lineRule="exact"/>
        <w:rPr>
          <w:sz w:val="20"/>
          <w:szCs w:val="20"/>
          <w:color w:val="auto"/>
        </w:rPr>
      </w:pPr>
    </w:p>
    <w:p>
      <w:pPr>
        <w:jc w:val="both"/>
        <w:ind w:left="1300"/>
        <w:spacing w:after="0" w:line="231" w:lineRule="auto"/>
        <w:rPr>
          <w:sz w:val="20"/>
          <w:szCs w:val="20"/>
          <w:color w:val="auto"/>
        </w:rPr>
      </w:pPr>
      <w:r>
        <w:rPr>
          <w:rFonts w:ascii="Arial" w:cs="Arial" w:eastAsia="Arial" w:hAnsi="Arial"/>
          <w:sz w:val="18"/>
          <w:szCs w:val="18"/>
          <w:i w:val="1"/>
          <w:iCs w:val="1"/>
          <w:color w:val="auto"/>
        </w:rPr>
        <w:t xml:space="preserve">Inpatient Cap. </w:t>
      </w:r>
      <w:r>
        <w:rPr>
          <w:rFonts w:ascii="Arial" w:cs="Arial" w:eastAsia="Arial" w:hAnsi="Arial"/>
          <w:sz w:val="18"/>
          <w:szCs w:val="18"/>
          <w:color w:val="auto"/>
        </w:rPr>
        <w:t>If the number of inpatient care days any hospice program provides to Medicare beneficiaries exceeds 20%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days of hospice care such program provided to all Medicare patients for an annual period beginning September 28, the days more than the 20% figure may be reimbursed only at the routine homecare rate. None of VITAS’ hospice programs exceeded the payment limits on inpatient services during the years ended December 31, 2021, 2020, and 2019.</w:t>
      </w:r>
    </w:p>
    <w:p>
      <w:pPr>
        <w:spacing w:after="0" w:line="148" w:lineRule="exact"/>
        <w:rPr>
          <w:sz w:val="20"/>
          <w:szCs w:val="20"/>
          <w:color w:val="auto"/>
        </w:rPr>
      </w:pPr>
    </w:p>
    <w:p>
      <w:pPr>
        <w:jc w:val="both"/>
        <w:ind w:left="1300"/>
        <w:spacing w:after="0"/>
        <w:rPr>
          <w:sz w:val="20"/>
          <w:szCs w:val="20"/>
          <w:color w:val="auto"/>
        </w:rPr>
      </w:pPr>
      <w:r>
        <w:rPr>
          <w:rFonts w:ascii="Arial" w:cs="Arial" w:eastAsia="Arial" w:hAnsi="Arial"/>
          <w:sz w:val="17"/>
          <w:szCs w:val="17"/>
          <w:i w:val="1"/>
          <w:iCs w:val="1"/>
          <w:color w:val="auto"/>
        </w:rPr>
        <w:t xml:space="preserve">Medicare Cap. </w:t>
      </w:r>
      <w:r>
        <w:rPr>
          <w:rFonts w:ascii="Arial" w:cs="Arial" w:eastAsia="Arial" w:hAnsi="Arial"/>
          <w:sz w:val="17"/>
          <w:szCs w:val="17"/>
          <w:color w:val="auto"/>
        </w:rPr>
        <w:t>We are also subject to a Medicare annual per-beneficiary cap (“Medicare cap”). Compliance with the Medicare cap is</w:t>
      </w:r>
      <w:r>
        <w:rPr>
          <w:rFonts w:ascii="Arial" w:cs="Arial" w:eastAsia="Arial" w:hAnsi="Arial"/>
          <w:sz w:val="17"/>
          <w:szCs w:val="17"/>
          <w:i w:val="1"/>
          <w:iCs w:val="1"/>
          <w:color w:val="auto"/>
        </w:rPr>
        <w:t xml:space="preserve"> </w:t>
      </w:r>
      <w:r>
        <w:rPr>
          <w:rFonts w:ascii="Arial" w:cs="Arial" w:eastAsia="Arial" w:hAnsi="Arial"/>
          <w:sz w:val="17"/>
          <w:szCs w:val="17"/>
          <w:color w:val="auto"/>
        </w:rPr>
        <w:t>measured in 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December 31, 2021, all our programs except one are using the “streamlined” method.</w:t>
      </w:r>
    </w:p>
    <w:p>
      <w:pPr>
        <w:spacing w:after="0" w:line="150" w:lineRule="exact"/>
        <w:rPr>
          <w:sz w:val="20"/>
          <w:szCs w:val="20"/>
          <w:color w:val="auto"/>
        </w:rPr>
      </w:pPr>
    </w:p>
    <w:p>
      <w:pPr>
        <w:jc w:val="both"/>
        <w:ind w:left="1300"/>
        <w:spacing w:after="0" w:line="227" w:lineRule="auto"/>
        <w:rPr>
          <w:sz w:val="20"/>
          <w:szCs w:val="20"/>
          <w:color w:val="auto"/>
        </w:rPr>
      </w:pPr>
      <w:r>
        <w:rPr>
          <w:rFonts w:ascii="Arial" w:cs="Arial" w:eastAsia="Arial" w:hAnsi="Arial"/>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both"/>
        <w:ind w:left="1300"/>
        <w:spacing w:after="0" w:line="225" w:lineRule="auto"/>
        <w:rPr>
          <w:sz w:val="20"/>
          <w:szCs w:val="20"/>
          <w:color w:val="auto"/>
        </w:rPr>
      </w:pPr>
      <w:r>
        <w:rPr>
          <w:rFonts w:ascii="Arial" w:cs="Arial" w:eastAsia="Arial" w:hAnsi="Arial"/>
          <w:sz w:val="18"/>
          <w:szCs w:val="18"/>
          <w:color w:val="auto"/>
        </w:rPr>
        <w:t>We actively monitor each of our hospice programs, by provider number, as to their specific admission, discharge rate and median length of stay data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2013, the U.S. government implemented automatic budget reductions of 2.0% for all government payees, including hospice benefits paid under the Medicare program. In 2015, CMS determined that the Medicare cap should be calculated “as if” sequestration did not occur. Because of this decision, VITAS has received notification from our third-party intermediary that an additional $8.7 million is owed for Medicare cap in three programs arising during the 2013 through 2020 measurement periods. The amounts are automatically deducted from our semi-monthly PIP payments. We do not believe that CMS is authorized under the sequestration authority or the statutory methodology for establishing the Medicare cap to the amounts they have withheld and intend to withhold under their current “as if” methodology. We have appealed CMS’s methodology change.</w:t>
      </w:r>
    </w:p>
    <w:p>
      <w:pPr>
        <w:spacing w:after="0" w:line="15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During the year ended December 31, 2021 we recorded $6.6 million in Medicare cap revenue reduction related to two programs’ projected 2021 measurement period liability and two programs’ 2022 measurement period liability.</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During the year ended December 31, 2020 we recorded $6.7 million in Medicare cap revenue reduction related to four programs projected 2020 measurement period liability.</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During the years ended December 31, 2019, we recorded $12.4 million in Medicare cap revenue reduction related to four programs’ 2020 measurement period liability and four programs’ projected 2019 measurement period liability.</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At December 31, 2021 and 2020, the Medicare cap liability included in other current liabilities on the accompanying balance sheets was $13.5 million and $15.1 million, respectively.</w:t>
      </w:r>
    </w:p>
    <w:p>
      <w:pPr>
        <w:spacing w:after="0" w:line="1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Roto-Rooter</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Roto-Rooter provides plumbing, drain cleaning,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144" w:lineRule="exact"/>
        <w:rPr>
          <w:sz w:val="20"/>
          <w:szCs w:val="20"/>
          <w:color w:val="auto"/>
        </w:rPr>
      </w:pPr>
    </w:p>
    <w:p>
      <w:pPr>
        <w:jc w:val="both"/>
        <w:ind w:left="1300"/>
        <w:spacing w:after="0" w:line="227" w:lineRule="auto"/>
        <w:rPr>
          <w:sz w:val="20"/>
          <w:szCs w:val="20"/>
          <w:color w:val="auto"/>
        </w:rPr>
      </w:pPr>
      <w:r>
        <w:rPr>
          <w:rFonts w:ascii="Arial" w:cs="Arial" w:eastAsia="Arial" w:hAnsi="Arial"/>
          <w:sz w:val="18"/>
          <w:szCs w:val="18"/>
          <w:i w:val="1"/>
          <w:iCs w:val="1"/>
          <w:color w:val="auto"/>
        </w:rPr>
        <w:t xml:space="preserve">Short-term Core Services </w:t>
      </w:r>
      <w:r>
        <w:rPr>
          <w:rFonts w:ascii="Arial" w:cs="Arial" w:eastAsia="Arial" w:hAnsi="Arial"/>
          <w:sz w:val="18"/>
          <w:szCs w:val="18"/>
          <w:color w:val="auto"/>
        </w:rPr>
        <w:t>are plumbing, drain and sewer cleaning and excavation services. These services are provided to both</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residential customers. The duration of services provided in this category range from a few hours to a few days. There are no significant warranty costs or on-going obligations to the customer once a service has been completed. For residential customers, payment is received at the time of job completion before the Roto-Rooter technician leaves the residence. Commercial customers may be granted credit subject to internally designated authority limits and credit check guidelines. If credit is granted, payment terms are 30 days or less.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3" w:name="page94"/>
    <w:bookmarkEnd w:id="93"/>
    <w:p>
      <w:pPr>
        <w:jc w:val="both"/>
        <w:ind w:left="1300"/>
        <w:spacing w:after="0" w:line="266" w:lineRule="auto"/>
        <w:rPr>
          <w:sz w:val="20"/>
          <w:szCs w:val="20"/>
          <w:color w:val="auto"/>
        </w:rPr>
      </w:pPr>
      <w:r>
        <w:rPr>
          <w:rFonts w:ascii="Arial" w:cs="Arial" w:eastAsia="Arial" w:hAnsi="Arial"/>
          <w:sz w:val="16"/>
          <w:szCs w:val="16"/>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129" w:lineRule="exact"/>
        <w:rPr>
          <w:sz w:val="20"/>
          <w:szCs w:val="20"/>
          <w:color w:val="auto"/>
        </w:rPr>
      </w:pPr>
    </w:p>
    <w:p>
      <w:pPr>
        <w:jc w:val="both"/>
        <w:ind w:left="1300"/>
        <w:spacing w:after="0" w:line="261" w:lineRule="auto"/>
        <w:rPr>
          <w:sz w:val="20"/>
          <w:szCs w:val="20"/>
          <w:color w:val="auto"/>
        </w:rPr>
      </w:pPr>
      <w:r>
        <w:rPr>
          <w:rFonts w:ascii="Arial" w:cs="Arial" w:eastAsia="Arial" w:hAnsi="Arial"/>
          <w:sz w:val="16"/>
          <w:szCs w:val="16"/>
          <w:i w:val="1"/>
          <w:iCs w:val="1"/>
          <w:color w:val="auto"/>
        </w:rPr>
        <w:t xml:space="preserve">Water Restoration Services </w:t>
      </w:r>
      <w:r>
        <w:rPr>
          <w:rFonts w:ascii="Arial" w:cs="Arial" w:eastAsia="Arial" w:hAnsi="Arial"/>
          <w:sz w:val="16"/>
          <w:szCs w:val="16"/>
          <w:color w:val="auto"/>
        </w:rPr>
        <w:t>involve the remediation of water and humidity after a flood. These services are provided to both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residential customers. The duration of services provided in this category generally ranges from 3 to 5 days. There are no significant warranties or on-going obligations to the customer once service has been completed. The majority of these services are paid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1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pacing w:after="0" w:line="1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Roto-Rooter owns the rights to certain territories and contracts with an independent third-party to operate the territory under Roto-Rooter’s registered trademarks. The contract is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Independent contractors pay Roto-Rooter a standard fee calculated as a percentage of cash collection from their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Roto-Rooter has licensed the rights to operate under Roto-Rooter’s registered trademarks in other territories to franchisees. The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 to-day management of the business including staffing decisions, pricing of services provided and local advertising spend and placement. All performance obligations of Roto-Rooter cease at the termination of the arrangement.</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Insurance Accruals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For the Roto-Rooter segment and Chemed’s Corporate Office, we initially self-insure for all casualty insurance claims (workers’ compensation, auto liability and general liability). As a result, we closely monitor and frequently evaluate our historical claims experience to estimate the appropriate level of accrual for self-insured claims. Our third-party administrator (“TPA”) processes and reviews claims on a monthly basis. Currently, our exposure on any single claim is capped at $750,000. In developing our estimates, we accumulate historical claims data for the previous 10 years to calculate loss development factors (“LDF”) by insurance coverage type. LDFs are applied to known claims to estimate the ultimate potential liability for known and unknown claims for each open policy year. LDFs are updated annually. Because this methodology relies heavily on historical claims data, the key risk is whether the historical claims are an accurate predictor of future claims exposure. The risk also exists that certain claims have been incurred and not reported on a timely basis. To mitigate these risks, in conjunction with our TPA, we closely monitor claims to ensure timely accumulation of data and compare claims trends with the industry experience of our TPA.</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the VITAS segment, we initially self-insure for workers’ compensation claims. Currently, VITAS’ exposure on any single claim is capped at $1,000,000. For VITAS’ self-insurance accruals for workers’ compensation, the valuation methods used are similar to those used internally for our other business units. We are also insured for other risks with respect to professional liability with a deductible of $1,000,000.</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casualty insurance liabilities are recorded gross before any estimated recovery for amounts exceeding our stop loss limits. Estimated recoveries from insurance carriers are recorded as accounts receivable. Claims experience adjustments to our casualty and workers’ compensation accrual for the years ended December 31, 2021, 2020 and 2019, were net pretax credits of ($6,332,000), ($4,578,000), and ($1,664,000) respectively.</w:t>
      </w:r>
    </w:p>
    <w:p>
      <w:pPr>
        <w:spacing w:after="0" w:line="1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As an indication of the sensitivity of the accrued liability to reported claims, our analysis indicates that a 1% across-the-board increase or decrease in the amount of projected losses would increase or decrease the accrued insurance liability at December 31, 2021 by $4.3 million or 7.7%. While the amount recorded represents our best estimate of the casualty and workers’ compensation insurance liability, we have calculated, based on historical claims experience, the actual loss could reasonably be expected to increase or decrease by approximately $1.0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5" w:name="page96"/>
    <w:bookmarkEnd w:id="95"/>
    <w:p>
      <w:pPr>
        <w:ind w:left="2740"/>
        <w:spacing w:after="0"/>
        <w:rPr>
          <w:sz w:val="20"/>
          <w:szCs w:val="20"/>
          <w:color w:val="auto"/>
        </w:rPr>
      </w:pPr>
      <w:r>
        <w:rPr>
          <w:rFonts w:ascii="Arial" w:cs="Arial" w:eastAsia="Arial" w:hAnsi="Arial"/>
          <w:sz w:val="14"/>
          <w:szCs w:val="14"/>
          <w:b w:val="1"/>
          <w:bCs w:val="1"/>
          <w:color w:val="auto"/>
        </w:rPr>
        <w:t>Unaudited Consolidating Summaries and Reconciliations of Adjusted EBITDA (in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Chemed Corporation and Subsidiary Companies</w:t>
      </w:r>
    </w:p>
    <w:tbl>
      <w:tblPr>
        <w:tblLayout w:type="fixed"/>
        <w:tblInd w:w="0" w:type="dxa"/>
        <w:tblCellMar>
          <w:top w:w="0" w:type="dxa"/>
          <w:left w:w="0" w:type="dxa"/>
          <w:bottom w:w="0" w:type="dxa"/>
          <w:right w:w="0" w:type="dxa"/>
        </w:tblCellMar>
      </w:tblPr>
      <w:tr>
        <w:trPr>
          <w:trHeight w:val="160"/>
        </w:trPr>
        <w:tc>
          <w:tcPr>
            <w:tcW w:w="4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88"/>
              <w:spacing w:after="0" w:line="160" w:lineRule="exact"/>
              <w:rPr>
                <w:sz w:val="20"/>
                <w:szCs w:val="20"/>
                <w:color w:val="auto"/>
              </w:rPr>
            </w:pPr>
            <w:r>
              <w:rPr>
                <w:rFonts w:ascii="Arial" w:cs="Arial" w:eastAsia="Arial" w:hAnsi="Arial"/>
                <w:sz w:val="14"/>
                <w:szCs w:val="14"/>
                <w:b w:val="1"/>
                <w:bCs w:val="1"/>
                <w:color w:val="auto"/>
              </w:rPr>
              <w:t>Chemed</w:t>
            </w:r>
          </w:p>
        </w:tc>
      </w:tr>
      <w:tr>
        <w:trPr>
          <w:trHeight w:val="171"/>
        </w:trPr>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VITAS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Roto-Rooter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Consolidated</w:t>
            </w:r>
          </w:p>
        </w:tc>
      </w:tr>
      <w:tr>
        <w:trPr>
          <w:trHeight w:val="335"/>
        </w:trPr>
        <w:tc>
          <w:tcPr>
            <w:tcW w:w="4380" w:type="dxa"/>
            <w:vAlign w:val="bottom"/>
          </w:tcPr>
          <w:p>
            <w:pPr>
              <w:ind w:left="380"/>
              <w:spacing w:after="0"/>
              <w:rPr>
                <w:sz w:val="20"/>
                <w:szCs w:val="20"/>
                <w:color w:val="auto"/>
              </w:rPr>
            </w:pPr>
            <w:r>
              <w:rPr>
                <w:rFonts w:ascii="Arial" w:cs="Arial" w:eastAsia="Arial" w:hAnsi="Arial"/>
                <w:sz w:val="14"/>
                <w:szCs w:val="14"/>
                <w:b w:val="1"/>
                <w:bCs w:val="1"/>
                <w:color w:val="auto"/>
              </w:rPr>
              <w:t>Net income/(loss)</w:t>
            </w:r>
          </w:p>
        </w:tc>
        <w:tc>
          <w:tcPr>
            <w:tcW w:w="12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162,431</w:t>
            </w:r>
          </w:p>
        </w:tc>
        <w:tc>
          <w:tcPr>
            <w:tcW w:w="80" w:type="dxa"/>
            <w:vAlign w:val="bottom"/>
          </w:tcPr>
          <w:p>
            <w:pPr>
              <w:spacing w:after="0"/>
              <w:rPr>
                <w:sz w:val="24"/>
                <w:szCs w:val="24"/>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166,333</w:t>
            </w:r>
          </w:p>
        </w:tc>
        <w:tc>
          <w:tcPr>
            <w:tcW w:w="80" w:type="dxa"/>
            <w:vAlign w:val="bottom"/>
          </w:tcPr>
          <w:p>
            <w:pPr>
              <w:spacing w:after="0"/>
              <w:rPr>
                <w:sz w:val="24"/>
                <w:szCs w:val="24"/>
                <w:color w:val="auto"/>
              </w:rPr>
            </w:pPr>
          </w:p>
        </w:tc>
        <w:tc>
          <w:tcPr>
            <w:tcW w:w="30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(60,214)</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268,550</w:t>
            </w:r>
          </w:p>
        </w:tc>
      </w:tr>
      <w:tr>
        <w:trPr>
          <w:trHeight w:val="176"/>
        </w:trPr>
        <w:tc>
          <w:tcPr>
            <w:tcW w:w="4380" w:type="dxa"/>
            <w:vAlign w:val="bottom"/>
          </w:tcPr>
          <w:p>
            <w:pPr>
              <w:ind w:left="380"/>
              <w:spacing w:after="0"/>
              <w:rPr>
                <w:sz w:val="20"/>
                <w:szCs w:val="20"/>
                <w:color w:val="auto"/>
              </w:rPr>
            </w:pPr>
            <w:r>
              <w:rPr>
                <w:rFonts w:ascii="Arial" w:cs="Arial" w:eastAsia="Arial" w:hAnsi="Arial"/>
                <w:sz w:val="14"/>
                <w:szCs w:val="14"/>
                <w:b w:val="1"/>
                <w:bCs w:val="1"/>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Interest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1,113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1,868</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Income taxes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52,426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51,420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(22,082)</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81,764</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Depreciation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23,114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25,816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49,011</w:t>
            </w:r>
          </w:p>
        </w:tc>
      </w:tr>
      <w:tr>
        <w:trPr>
          <w:trHeight w:val="171"/>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10,040</w:t>
            </w:r>
          </w:p>
        </w:tc>
      </w:tr>
      <w:tr>
        <w:trPr>
          <w:trHeight w:val="160"/>
        </w:trPr>
        <w:tc>
          <w:tcPr>
            <w:tcW w:w="4380" w:type="dxa"/>
            <w:vAlign w:val="bottom"/>
          </w:tcPr>
          <w:p>
            <w:pPr>
              <w:ind w:left="1360"/>
              <w:spacing w:after="0" w:line="160" w:lineRule="exact"/>
              <w:rPr>
                <w:sz w:val="20"/>
                <w:szCs w:val="20"/>
                <w:color w:val="auto"/>
              </w:rPr>
            </w:pPr>
            <w:r>
              <w:rPr>
                <w:rFonts w:ascii="Arial" w:cs="Arial" w:eastAsia="Arial" w:hAnsi="Arial"/>
                <w:sz w:val="14"/>
                <w:szCs w:val="14"/>
                <w:b w:val="1"/>
                <w:bCs w:val="1"/>
                <w:color w:val="auto"/>
              </w:rPr>
              <w:t>EBITDA</w:t>
            </w:r>
          </w:p>
        </w:tc>
        <w:tc>
          <w:tcPr>
            <w:tcW w:w="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b w:val="1"/>
                <w:bCs w:val="1"/>
                <w:color w:val="auto"/>
              </w:rPr>
              <w:t>238,202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b w:val="1"/>
                <w:bCs w:val="1"/>
                <w:color w:val="auto"/>
              </w:rPr>
              <w:t>254,133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b w:val="1"/>
                <w:bCs w:val="1"/>
                <w:color w:val="auto"/>
              </w:rPr>
              <w:t>(81,102)</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b w:val="1"/>
                <w:bCs w:val="1"/>
                <w:color w:val="auto"/>
              </w:rPr>
              <w:t>411,233</w:t>
            </w:r>
          </w:p>
        </w:tc>
      </w:tr>
      <w:tr>
        <w:trPr>
          <w:trHeight w:val="176"/>
        </w:trPr>
        <w:tc>
          <w:tcPr>
            <w:tcW w:w="4380" w:type="dxa"/>
            <w:vAlign w:val="bottom"/>
          </w:tcPr>
          <w:p>
            <w:pPr>
              <w:ind w:left="380"/>
              <w:spacing w:after="0"/>
              <w:rPr>
                <w:sz w:val="20"/>
                <w:szCs w:val="20"/>
                <w:color w:val="auto"/>
              </w:rPr>
            </w:pPr>
            <w:r>
              <w:rPr>
                <w:rFonts w:ascii="Arial" w:cs="Arial" w:eastAsia="Arial" w:hAnsi="Arial"/>
                <w:sz w:val="14"/>
                <w:szCs w:val="14"/>
                <w:b w:val="1"/>
                <w:bCs w:val="1"/>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Intercompany interest/(expense)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(18,125)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(7,180)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25,305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Interest income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(253)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(377)</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Stock option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22,502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22,502</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Direct costs related to COVID-19</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16,296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18,769</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Long-term incentive 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9,167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9,167</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Litigation settlement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r>
        <w:trPr>
          <w:trHeight w:val="171"/>
        </w:trPr>
        <w:tc>
          <w:tcPr>
            <w:tcW w:w="4380" w:type="dxa"/>
            <w:vAlign w:val="bottom"/>
          </w:tcPr>
          <w:p>
            <w:pPr>
              <w:ind w:left="1040"/>
              <w:spacing w:after="0"/>
              <w:rPr>
                <w:sz w:val="20"/>
                <w:szCs w:val="20"/>
                <w:color w:val="auto"/>
              </w:rPr>
            </w:pPr>
            <w:r>
              <w:rPr>
                <w:rFonts w:ascii="Arial" w:cs="Arial" w:eastAsia="Arial" w:hAnsi="Arial"/>
                <w:sz w:val="14"/>
                <w:szCs w:val="14"/>
                <w:b w:val="1"/>
                <w:bCs w:val="1"/>
                <w:color w:val="auto"/>
              </w:rPr>
              <w:t>Medicare cap sequestration adjustment</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218</w:t>
            </w:r>
          </w:p>
        </w:tc>
      </w:tr>
      <w:tr>
        <w:trPr>
          <w:trHeight w:val="142"/>
        </w:trPr>
        <w:tc>
          <w:tcPr>
            <w:tcW w:w="4380" w:type="dxa"/>
            <w:vAlign w:val="bottom"/>
          </w:tcPr>
          <w:p>
            <w:pPr>
              <w:ind w:left="1360"/>
              <w:spacing w:after="0" w:line="142" w:lineRule="exact"/>
              <w:rPr>
                <w:sz w:val="20"/>
                <w:szCs w:val="20"/>
                <w:color w:val="auto"/>
              </w:rPr>
            </w:pPr>
            <w:r>
              <w:rPr>
                <w:rFonts w:ascii="Arial" w:cs="Arial" w:eastAsia="Arial" w:hAnsi="Arial"/>
                <w:sz w:val="14"/>
                <w:szCs w:val="14"/>
                <w:b w:val="1"/>
                <w:bCs w:val="1"/>
                <w:color w:val="auto"/>
              </w:rPr>
              <w:t>Adjusted EBITDA</w:t>
            </w:r>
          </w:p>
        </w:tc>
        <w:tc>
          <w:tcPr>
            <w:tcW w:w="9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236,120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(23,872)</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461,414</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67"/>
        </w:trPr>
        <w:tc>
          <w:tcPr>
            <w:tcW w:w="4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Chemed</w:t>
            </w:r>
          </w:p>
        </w:tc>
      </w:tr>
      <w:tr>
        <w:trPr>
          <w:trHeight w:val="167"/>
        </w:trPr>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VITAS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Roto-Rooter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3"/>
              </w:rPr>
              <w:t>Corporate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Consolidated</w:t>
            </w:r>
          </w:p>
        </w:tc>
      </w:tr>
      <w:tr>
        <w:trPr>
          <w:trHeight w:val="339"/>
        </w:trPr>
        <w:tc>
          <w:tcPr>
            <w:tcW w:w="4380" w:type="dxa"/>
            <w:vAlign w:val="bottom"/>
          </w:tcPr>
          <w:p>
            <w:pPr>
              <w:ind w:left="380"/>
              <w:spacing w:after="0"/>
              <w:rPr>
                <w:sz w:val="20"/>
                <w:szCs w:val="20"/>
                <w:color w:val="auto"/>
              </w:rPr>
            </w:pPr>
            <w:r>
              <w:rPr>
                <w:rFonts w:ascii="Arial" w:cs="Arial" w:eastAsia="Arial" w:hAnsi="Arial"/>
                <w:sz w:val="14"/>
                <w:szCs w:val="14"/>
                <w:color w:val="auto"/>
              </w:rPr>
              <w:t>Net income/(loss)</w:t>
            </w:r>
          </w:p>
        </w:tc>
        <w:tc>
          <w:tcPr>
            <w:tcW w:w="12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238,782</w:t>
            </w:r>
          </w:p>
        </w:tc>
        <w:tc>
          <w:tcPr>
            <w:tcW w:w="80" w:type="dxa"/>
            <w:vAlign w:val="bottom"/>
          </w:tcPr>
          <w:p>
            <w:pPr>
              <w:spacing w:after="0"/>
              <w:rPr>
                <w:sz w:val="24"/>
                <w:szCs w:val="24"/>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120,394</w:t>
            </w:r>
          </w:p>
        </w:tc>
        <w:tc>
          <w:tcPr>
            <w:tcW w:w="80" w:type="dxa"/>
            <w:vAlign w:val="bottom"/>
          </w:tcPr>
          <w:p>
            <w:pPr>
              <w:spacing w:after="0"/>
              <w:rPr>
                <w:sz w:val="24"/>
                <w:szCs w:val="24"/>
                <w:color w:val="auto"/>
              </w:rPr>
            </w:pPr>
          </w:p>
        </w:tc>
        <w:tc>
          <w:tcPr>
            <w:tcW w:w="3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(39,710)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319,466</w:t>
            </w:r>
          </w:p>
        </w:tc>
      </w:tr>
      <w:tr>
        <w:trPr>
          <w:trHeight w:val="176"/>
        </w:trPr>
        <w:tc>
          <w:tcPr>
            <w:tcW w:w="4380" w:type="dxa"/>
            <w:vAlign w:val="bottom"/>
          </w:tcPr>
          <w:p>
            <w:pPr>
              <w:ind w:left="380"/>
              <w:spacing w:after="0"/>
              <w:rPr>
                <w:sz w:val="20"/>
                <w:szCs w:val="20"/>
                <w:color w:val="auto"/>
              </w:rPr>
            </w:pPr>
            <w:r>
              <w:rPr>
                <w:rFonts w:ascii="Arial" w:cs="Arial" w:eastAsia="Arial" w:hAnsi="Arial"/>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1,849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2,355</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Income taxes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76,473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37,038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(36,987)</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76,524</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22,168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24,292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46,596</w:t>
            </w:r>
          </w:p>
        </w:tc>
      </w:tr>
      <w:tr>
        <w:trPr>
          <w:trHeight w:val="167"/>
        </w:trPr>
        <w:tc>
          <w:tcPr>
            <w:tcW w:w="4380" w:type="dxa"/>
            <w:vAlign w:val="bottom"/>
          </w:tcPr>
          <w:p>
            <w:pPr>
              <w:ind w:left="1040"/>
              <w:spacing w:after="0"/>
              <w:rPr>
                <w:sz w:val="20"/>
                <w:szCs w:val="20"/>
                <w:color w:val="auto"/>
              </w:rPr>
            </w:pPr>
            <w:r>
              <w:rPr>
                <w:rFonts w:ascii="Arial" w:cs="Arial" w:eastAsia="Arial" w:hAnsi="Arial"/>
                <w:sz w:val="14"/>
                <w:szCs w:val="14"/>
                <w:color w:val="auto"/>
              </w:rPr>
              <w:t>Amortization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9,987</w:t>
            </w:r>
          </w:p>
        </w:tc>
      </w:tr>
      <w:tr>
        <w:trPr>
          <w:trHeight w:val="164"/>
        </w:trPr>
        <w:tc>
          <w:tcPr>
            <w:tcW w:w="4380" w:type="dxa"/>
            <w:vAlign w:val="bottom"/>
          </w:tcPr>
          <w:p>
            <w:pPr>
              <w:ind w:left="1360"/>
              <w:spacing w:after="0"/>
              <w:rPr>
                <w:sz w:val="20"/>
                <w:szCs w:val="20"/>
                <w:color w:val="auto"/>
              </w:rPr>
            </w:pPr>
            <w:r>
              <w:rPr>
                <w:rFonts w:ascii="Arial" w:cs="Arial" w:eastAsia="Arial" w:hAnsi="Arial"/>
                <w:sz w:val="14"/>
                <w:szCs w:val="14"/>
                <w:color w:val="auto"/>
              </w:rPr>
              <w:t>EBITDA</w:t>
            </w:r>
          </w:p>
        </w:tc>
        <w:tc>
          <w:tcPr>
            <w:tcW w:w="9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337,660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191,980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(74,712)</w:t>
            </w: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454,928</w:t>
            </w:r>
          </w:p>
        </w:tc>
      </w:tr>
      <w:tr>
        <w:trPr>
          <w:trHeight w:val="176"/>
        </w:trPr>
        <w:tc>
          <w:tcPr>
            <w:tcW w:w="4380" w:type="dxa"/>
            <w:vAlign w:val="bottom"/>
          </w:tcPr>
          <w:p>
            <w:pPr>
              <w:ind w:left="380"/>
              <w:spacing w:after="0"/>
              <w:rPr>
                <w:sz w:val="20"/>
                <w:szCs w:val="20"/>
                <w:color w:val="auto"/>
              </w:rPr>
            </w:pPr>
            <w:r>
              <w:rPr>
                <w:rFonts w:ascii="Arial" w:cs="Arial" w:eastAsia="Arial" w:hAnsi="Arial"/>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Intercompany interest/(expense)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(19,897)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(6,256)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26,153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Interest income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(668)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color w:val="auto"/>
              </w:rPr>
              <w:t>CARES Act grant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(80,225)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(80,225)</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Direct costs related to COVID-19</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35,441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39,260</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Stock option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18,422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18,422</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Long-term incentive 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8,937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8,937</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Litigation settlement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3,639</w:t>
            </w:r>
          </w:p>
        </w:tc>
      </w:tr>
      <w:tr>
        <w:trPr>
          <w:trHeight w:val="167"/>
        </w:trPr>
        <w:tc>
          <w:tcPr>
            <w:tcW w:w="4380" w:type="dxa"/>
            <w:vAlign w:val="bottom"/>
          </w:tcPr>
          <w:p>
            <w:pPr>
              <w:ind w:left="1040"/>
              <w:spacing w:after="0"/>
              <w:rPr>
                <w:sz w:val="20"/>
                <w:szCs w:val="20"/>
                <w:color w:val="auto"/>
              </w:rPr>
            </w:pPr>
            <w:r>
              <w:rPr>
                <w:rFonts w:ascii="Arial" w:cs="Arial" w:eastAsia="Arial" w:hAnsi="Arial"/>
                <w:sz w:val="14"/>
                <w:szCs w:val="14"/>
                <w:color w:val="auto"/>
              </w:rPr>
              <w:t>Medicare cap sequestration adjustment</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83"/>
        </w:trPr>
        <w:tc>
          <w:tcPr>
            <w:tcW w:w="4380" w:type="dxa"/>
            <w:vAlign w:val="bottom"/>
          </w:tcPr>
          <w:p>
            <w:pPr>
              <w:ind w:left="1360"/>
              <w:spacing w:after="0"/>
              <w:rPr>
                <w:sz w:val="20"/>
                <w:szCs w:val="20"/>
                <w:color w:val="auto"/>
              </w:rPr>
            </w:pPr>
            <w:r>
              <w:rPr>
                <w:rFonts w:ascii="Arial" w:cs="Arial" w:eastAsia="Arial" w:hAnsi="Arial"/>
                <w:sz w:val="14"/>
                <w:szCs w:val="14"/>
                <w:color w:val="auto"/>
              </w:rPr>
              <w:t>Adjusted EBITDA</w:t>
            </w:r>
          </w:p>
        </w:tc>
        <w:tc>
          <w:tcPr>
            <w:tcW w:w="12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272,930</w:t>
            </w:r>
          </w:p>
        </w:tc>
        <w:tc>
          <w:tcPr>
            <w:tcW w:w="80" w:type="dxa"/>
            <w:vAlign w:val="bottom"/>
          </w:tcPr>
          <w:p>
            <w:pPr>
              <w:spacing w:after="0"/>
              <w:rPr>
                <w:sz w:val="15"/>
                <w:szCs w:val="15"/>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193,106</w:t>
            </w:r>
          </w:p>
        </w:tc>
        <w:tc>
          <w:tcPr>
            <w:tcW w:w="80" w:type="dxa"/>
            <w:vAlign w:val="bottom"/>
          </w:tcPr>
          <w:p>
            <w:pPr>
              <w:spacing w:after="0"/>
              <w:rPr>
                <w:sz w:val="15"/>
                <w:szCs w:val="15"/>
                <w:color w:val="auto"/>
              </w:rPr>
            </w:pPr>
          </w:p>
        </w:tc>
        <w:tc>
          <w:tcPr>
            <w:tcW w:w="3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(21,213)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444,823</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4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Chemed</w:t>
            </w:r>
          </w:p>
        </w:tc>
      </w:tr>
      <w:tr>
        <w:trPr>
          <w:trHeight w:val="167"/>
        </w:trPr>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2019</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VITAS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Roto-Rooter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3"/>
              </w:rPr>
              <w:t>Corporate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Consolidated</w:t>
            </w:r>
          </w:p>
        </w:tc>
      </w:tr>
      <w:tr>
        <w:trPr>
          <w:trHeight w:val="339"/>
        </w:trPr>
        <w:tc>
          <w:tcPr>
            <w:tcW w:w="4380" w:type="dxa"/>
            <w:vAlign w:val="bottom"/>
          </w:tcPr>
          <w:p>
            <w:pPr>
              <w:ind w:left="380"/>
              <w:spacing w:after="0"/>
              <w:rPr>
                <w:sz w:val="20"/>
                <w:szCs w:val="20"/>
                <w:color w:val="auto"/>
              </w:rPr>
            </w:pPr>
            <w:r>
              <w:rPr>
                <w:rFonts w:ascii="Arial" w:cs="Arial" w:eastAsia="Arial" w:hAnsi="Arial"/>
                <w:sz w:val="14"/>
                <w:szCs w:val="14"/>
                <w:color w:val="auto"/>
              </w:rPr>
              <w:t>Net income/(loss)</w:t>
            </w:r>
          </w:p>
        </w:tc>
        <w:tc>
          <w:tcPr>
            <w:tcW w:w="12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155,822</w:t>
            </w:r>
          </w:p>
        </w:tc>
        <w:tc>
          <w:tcPr>
            <w:tcW w:w="80" w:type="dxa"/>
            <w:vAlign w:val="bottom"/>
          </w:tcPr>
          <w:p>
            <w:pPr>
              <w:spacing w:after="0"/>
              <w:rPr>
                <w:sz w:val="24"/>
                <w:szCs w:val="24"/>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103,710</w:t>
            </w:r>
          </w:p>
        </w:tc>
        <w:tc>
          <w:tcPr>
            <w:tcW w:w="80" w:type="dxa"/>
            <w:vAlign w:val="bottom"/>
          </w:tcPr>
          <w:p>
            <w:pPr>
              <w:spacing w:after="0"/>
              <w:rPr>
                <w:sz w:val="24"/>
                <w:szCs w:val="24"/>
                <w:color w:val="auto"/>
              </w:rPr>
            </w:pPr>
          </w:p>
        </w:tc>
        <w:tc>
          <w:tcPr>
            <w:tcW w:w="3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(39,609)</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219,923</w:t>
            </w:r>
          </w:p>
        </w:tc>
      </w:tr>
      <w:tr>
        <w:trPr>
          <w:trHeight w:val="175"/>
        </w:trPr>
        <w:tc>
          <w:tcPr>
            <w:tcW w:w="4380" w:type="dxa"/>
            <w:vAlign w:val="bottom"/>
          </w:tcPr>
          <w:p>
            <w:pPr>
              <w:ind w:left="380"/>
              <w:spacing w:after="0"/>
              <w:rPr>
                <w:sz w:val="20"/>
                <w:szCs w:val="20"/>
                <w:color w:val="auto"/>
              </w:rPr>
            </w:pPr>
            <w:r>
              <w:rPr>
                <w:rFonts w:ascii="Arial" w:cs="Arial" w:eastAsia="Arial" w:hAnsi="Arial"/>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4,535</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Income taxes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48,711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30,276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(37,301)</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41,686</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19,984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20,730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40,870</w:t>
            </w:r>
          </w:p>
        </w:tc>
      </w:tr>
      <w:tr>
        <w:trPr>
          <w:trHeight w:val="167"/>
        </w:trPr>
        <w:tc>
          <w:tcPr>
            <w:tcW w:w="4380" w:type="dxa"/>
            <w:vAlign w:val="bottom"/>
          </w:tcPr>
          <w:p>
            <w:pPr>
              <w:ind w:left="1040"/>
              <w:spacing w:after="0"/>
              <w:rPr>
                <w:sz w:val="20"/>
                <w:szCs w:val="20"/>
                <w:color w:val="auto"/>
              </w:rPr>
            </w:pPr>
            <w:r>
              <w:rPr>
                <w:rFonts w:ascii="Arial" w:cs="Arial" w:eastAsia="Arial" w:hAnsi="Arial"/>
                <w:sz w:val="14"/>
                <w:szCs w:val="14"/>
                <w:color w:val="auto"/>
              </w:rPr>
              <w:t>Amortization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4,335</w:t>
            </w:r>
          </w:p>
        </w:tc>
      </w:tr>
      <w:tr>
        <w:trPr>
          <w:trHeight w:val="164"/>
        </w:trPr>
        <w:tc>
          <w:tcPr>
            <w:tcW w:w="4380" w:type="dxa"/>
            <w:vAlign w:val="bottom"/>
          </w:tcPr>
          <w:p>
            <w:pPr>
              <w:ind w:left="1360"/>
              <w:spacing w:after="0"/>
              <w:rPr>
                <w:sz w:val="20"/>
                <w:szCs w:val="20"/>
                <w:color w:val="auto"/>
              </w:rPr>
            </w:pPr>
            <w:r>
              <w:rPr>
                <w:rFonts w:ascii="Arial" w:cs="Arial" w:eastAsia="Arial" w:hAnsi="Arial"/>
                <w:sz w:val="14"/>
                <w:szCs w:val="14"/>
                <w:color w:val="auto"/>
              </w:rPr>
              <w:t>EBITDA</w:t>
            </w:r>
          </w:p>
        </w:tc>
        <w:tc>
          <w:tcPr>
            <w:tcW w:w="9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224,757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159,325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(72,733)</w:t>
            </w: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311,349</w:t>
            </w:r>
          </w:p>
        </w:tc>
      </w:tr>
      <w:tr>
        <w:trPr>
          <w:trHeight w:val="175"/>
        </w:trPr>
        <w:tc>
          <w:tcPr>
            <w:tcW w:w="4380" w:type="dxa"/>
            <w:vAlign w:val="bottom"/>
          </w:tcPr>
          <w:p>
            <w:pPr>
              <w:ind w:left="380"/>
              <w:spacing w:after="0"/>
              <w:rPr>
                <w:sz w:val="20"/>
                <w:szCs w:val="20"/>
                <w:color w:val="auto"/>
              </w:rPr>
            </w:pPr>
            <w:r>
              <w:rPr>
                <w:rFonts w:ascii="Arial" w:cs="Arial" w:eastAsia="Arial" w:hAnsi="Arial"/>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Intercompany interest/(expense)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(18,135)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(8,152)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26,287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Interest income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(513)</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Stock option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14,831</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Long-term incentive 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7,630</w:t>
            </w:r>
          </w:p>
        </w:tc>
      </w:tr>
      <w:tr>
        <w:trPr>
          <w:trHeight w:val="176"/>
        </w:trPr>
        <w:tc>
          <w:tcPr>
            <w:tcW w:w="4380" w:type="dxa"/>
            <w:vAlign w:val="bottom"/>
          </w:tcPr>
          <w:p>
            <w:pPr>
              <w:ind w:left="1040"/>
              <w:spacing w:after="0"/>
              <w:rPr>
                <w:sz w:val="20"/>
                <w:szCs w:val="20"/>
                <w:color w:val="auto"/>
              </w:rPr>
            </w:pPr>
            <w:r>
              <w:rPr>
                <w:rFonts w:ascii="Arial" w:cs="Arial" w:eastAsia="Arial" w:hAnsi="Arial"/>
                <w:sz w:val="14"/>
                <w:szCs w:val="14"/>
                <w:color w:val="auto"/>
              </w:rPr>
              <w:t>Litigation settlement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Acquisition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4,834</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Medicare cap sequestration adjustment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3,982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3,982</w:t>
            </w:r>
          </w:p>
        </w:tc>
      </w:tr>
      <w:tr>
        <w:trPr>
          <w:trHeight w:val="175"/>
        </w:trPr>
        <w:tc>
          <w:tcPr>
            <w:tcW w:w="4380" w:type="dxa"/>
            <w:vAlign w:val="bottom"/>
          </w:tcPr>
          <w:p>
            <w:pPr>
              <w:ind w:left="1040"/>
              <w:spacing w:after="0"/>
              <w:rPr>
                <w:sz w:val="20"/>
                <w:szCs w:val="20"/>
                <w:color w:val="auto"/>
              </w:rPr>
            </w:pPr>
            <w:r>
              <w:rPr>
                <w:rFonts w:ascii="Arial" w:cs="Arial" w:eastAsia="Arial" w:hAnsi="Arial"/>
                <w:sz w:val="14"/>
                <w:szCs w:val="14"/>
                <w:color w:val="auto"/>
              </w:rPr>
              <w:t>Loss on sale of transportation equipment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2,266</w:t>
            </w:r>
          </w:p>
        </w:tc>
      </w:tr>
      <w:tr>
        <w:trPr>
          <w:trHeight w:val="167"/>
        </w:trPr>
        <w:tc>
          <w:tcPr>
            <w:tcW w:w="4380" w:type="dxa"/>
            <w:vAlign w:val="bottom"/>
          </w:tcPr>
          <w:p>
            <w:pPr>
              <w:ind w:left="1040"/>
              <w:spacing w:after="0"/>
              <w:rPr>
                <w:sz w:val="20"/>
                <w:szCs w:val="20"/>
                <w:color w:val="auto"/>
              </w:rPr>
            </w:pPr>
            <w:r>
              <w:rPr>
                <w:rFonts w:ascii="Arial" w:cs="Arial" w:eastAsia="Arial" w:hAnsi="Arial"/>
                <w:sz w:val="14"/>
                <w:szCs w:val="14"/>
                <w:color w:val="auto"/>
              </w:rPr>
              <w:t>Non cash ASC 842 expenses/(benefit)</w:t>
            </w: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r>
      <w:tr>
        <w:trPr>
          <w:trHeight w:val="169"/>
        </w:trPr>
        <w:tc>
          <w:tcPr>
            <w:tcW w:w="4380" w:type="dxa"/>
            <w:vAlign w:val="bottom"/>
          </w:tcPr>
          <w:p>
            <w:pPr>
              <w:ind w:left="1360"/>
              <w:spacing w:after="0"/>
              <w:rPr>
                <w:sz w:val="20"/>
                <w:szCs w:val="20"/>
                <w:color w:val="auto"/>
              </w:rPr>
            </w:pPr>
            <w:r>
              <w:rPr>
                <w:rFonts w:ascii="Arial" w:cs="Arial" w:eastAsia="Arial" w:hAnsi="Arial"/>
                <w:sz w:val="14"/>
                <w:szCs w:val="14"/>
                <w:color w:val="auto"/>
              </w:rPr>
              <w:t>Adjusted EBITDA</w:t>
            </w:r>
          </w:p>
        </w:tc>
        <w:tc>
          <w:tcPr>
            <w:tcW w:w="12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216,880</w:t>
            </w:r>
          </w:p>
        </w:tc>
        <w:tc>
          <w:tcPr>
            <w:tcW w:w="80" w:type="dxa"/>
            <w:vAlign w:val="bottom"/>
          </w:tcPr>
          <w:p>
            <w:pPr>
              <w:spacing w:after="0"/>
              <w:rPr>
                <w:sz w:val="14"/>
                <w:szCs w:val="14"/>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155,759</w:t>
            </w:r>
          </w:p>
        </w:tc>
        <w:tc>
          <w:tcPr>
            <w:tcW w:w="80" w:type="dxa"/>
            <w:vAlign w:val="bottom"/>
          </w:tcPr>
          <w:p>
            <w:pPr>
              <w:spacing w:after="0"/>
              <w:rPr>
                <w:sz w:val="14"/>
                <w:szCs w:val="14"/>
                <w:color w:val="auto"/>
              </w:rPr>
            </w:pPr>
          </w:p>
        </w:tc>
        <w:tc>
          <w:tcPr>
            <w:tcW w:w="3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(21,712)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350,927</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6" w:name="page97"/>
    <w:bookmarkEnd w:id="96"/>
    <w:p>
      <w:pPr>
        <w:jc w:val="center"/>
        <w:ind w:right="-179"/>
        <w:spacing w:after="0"/>
        <w:rPr>
          <w:sz w:val="20"/>
          <w:szCs w:val="20"/>
          <w:color w:val="auto"/>
        </w:rPr>
      </w:pPr>
      <w:r>
        <w:rPr>
          <w:rFonts w:ascii="Arial" w:cs="Arial" w:eastAsia="Arial" w:hAnsi="Arial"/>
          <w:sz w:val="14"/>
          <w:szCs w:val="14"/>
          <w:b w:val="1"/>
          <w:bCs w:val="1"/>
          <w:color w:val="auto"/>
        </w:rPr>
        <w:t>CHEMED CORPORATION AND SUBSIDIARY COMPANIES</w:t>
      </w: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RECONCILIATION OF ADJUSTED NET INCOME</w:t>
      </w: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 thousands, except per share data)(unaudited)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color w:val="auto"/>
              </w:rPr>
              <w:t>For the Years Ended December 31,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4"/>
                <w:szCs w:val="14"/>
                <w:color w:val="auto"/>
              </w:rPr>
              <w:t>Net income as reported</w:t>
            </w:r>
          </w:p>
        </w:tc>
        <w:tc>
          <w:tcPr>
            <w:tcW w:w="2400" w:type="dxa"/>
            <w:vAlign w:val="bottom"/>
            <w:gridSpan w:val="2"/>
          </w:tcPr>
          <w:p>
            <w:pPr>
              <w:jc w:val="right"/>
              <w:ind w:right="7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268,550</w:t>
            </w:r>
          </w:p>
        </w:tc>
        <w:tc>
          <w:tcPr>
            <w:tcW w:w="10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319,466</w:t>
            </w:r>
          </w:p>
        </w:tc>
        <w:tc>
          <w:tcPr>
            <w:tcW w:w="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219,923</w:t>
            </w: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4"/>
                <w:szCs w:val="14"/>
                <w:color w:val="auto"/>
              </w:rPr>
              <w:t>Add/(deduct) pre-tax cost of:</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Stock option expense</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22,502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18,422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14,831</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Arial" w:cs="Arial" w:eastAsia="Arial" w:hAnsi="Arial"/>
                <w:sz w:val="14"/>
                <w:szCs w:val="14"/>
                <w:color w:val="auto"/>
              </w:rPr>
              <w:t>COVID-19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18,769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39,260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Amortization of reacquired franchise agreements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9,408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Arial" w:cs="Arial" w:eastAsia="Arial" w:hAnsi="Arial"/>
                <w:sz w:val="14"/>
                <w:szCs w:val="14"/>
                <w:color w:val="auto"/>
              </w:rPr>
              <w:t>Long-term incentive compensation</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9,167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7,630</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Facility relocation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1,855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Other</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Arial" w:cs="Arial" w:eastAsia="Arial" w:hAnsi="Arial"/>
                <w:sz w:val="14"/>
                <w:szCs w:val="14"/>
                <w:color w:val="auto"/>
              </w:rPr>
              <w:t>Litigation settlements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CARES Act grant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(80,225)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Arial" w:cs="Arial" w:eastAsia="Arial" w:hAnsi="Arial"/>
                <w:sz w:val="14"/>
                <w:szCs w:val="14"/>
                <w:color w:val="auto"/>
              </w:rPr>
              <w:t>Medicare cap sequestration adjustment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Acquisition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4,834</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Loss on sale of transportation equipment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Arial" w:cs="Arial" w:eastAsia="Arial" w:hAnsi="Arial"/>
                <w:sz w:val="14"/>
                <w:szCs w:val="14"/>
                <w:color w:val="auto"/>
              </w:rPr>
              <w:t>Non cash ASC 842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4"/>
                <w:szCs w:val="14"/>
                <w:color w:val="auto"/>
              </w:rPr>
              <w:t>Add/(deduct) tax impacts: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4"/>
                <w:szCs w:val="14"/>
                <w:color w:val="auto"/>
              </w:rPr>
              <w:t>Tax impact of the above pre-tax adjustments (1)</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(9,328)</w:t>
            </w:r>
          </w:p>
        </w:tc>
        <w:tc>
          <w:tcPr>
            <w:tcW w:w="0" w:type="dxa"/>
            <w:vAlign w:val="bottom"/>
          </w:tcPr>
          <w:p>
            <w:pPr>
              <w:spacing w:after="0"/>
              <w:rPr>
                <w:sz w:val="1"/>
                <w:szCs w:val="1"/>
                <w:color w:val="auto"/>
              </w:rPr>
            </w:pPr>
          </w:p>
        </w:tc>
      </w:tr>
      <w:tr>
        <w:trPr>
          <w:trHeight w:val="215"/>
        </w:trPr>
        <w:tc>
          <w:tcPr>
            <w:tcW w:w="4740" w:type="dxa"/>
            <w:vAlign w:val="bottom"/>
          </w:tcPr>
          <w:p>
            <w:pPr>
              <w:ind w:left="440"/>
              <w:spacing w:after="0"/>
              <w:rPr>
                <w:sz w:val="20"/>
                <w:szCs w:val="20"/>
                <w:color w:val="auto"/>
              </w:rPr>
            </w:pPr>
            <w:r>
              <w:rPr>
                <w:rFonts w:ascii="Arial" w:cs="Arial" w:eastAsia="Arial" w:hAnsi="Arial"/>
                <w:sz w:val="14"/>
                <w:szCs w:val="14"/>
                <w:color w:val="auto"/>
              </w:rPr>
              <w:t>Excess tax benefits on stock compensation</w:t>
            </w:r>
          </w:p>
        </w:tc>
        <w:tc>
          <w:tcPr>
            <w:tcW w:w="1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(24,177)</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Arial" w:cs="Arial" w:eastAsia="Arial" w:hAnsi="Arial"/>
                <w:sz w:val="14"/>
                <w:szCs w:val="14"/>
                <w:color w:val="auto"/>
              </w:rPr>
              <w:t>Adjusted net income</w:t>
            </w:r>
          </w:p>
        </w:tc>
        <w:tc>
          <w:tcPr>
            <w:tcW w:w="2400" w:type="dxa"/>
            <w:vAlign w:val="bottom"/>
            <w:gridSpan w:val="2"/>
          </w:tcPr>
          <w:p>
            <w:pPr>
              <w:jc w:val="right"/>
              <w:ind w:right="7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308,007</w:t>
            </w:r>
          </w:p>
        </w:tc>
        <w:tc>
          <w:tcPr>
            <w:tcW w:w="10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296,413</w:t>
            </w:r>
          </w:p>
        </w:tc>
        <w:tc>
          <w:tcPr>
            <w:tcW w:w="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230,473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color w:val="auto"/>
              </w:rPr>
              <w:t>Diluted Earnings Per Share As Reported</w:t>
            </w: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7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740" w:type="dxa"/>
            <w:vAlign w:val="bottom"/>
          </w:tcPr>
          <w:p>
            <w:pPr>
              <w:ind w:left="440"/>
              <w:spacing w:after="0"/>
              <w:rPr>
                <w:sz w:val="20"/>
                <w:szCs w:val="20"/>
                <w:color w:val="auto"/>
              </w:rPr>
            </w:pPr>
            <w:r>
              <w:rPr>
                <w:rFonts w:ascii="Arial" w:cs="Arial" w:eastAsia="Arial" w:hAnsi="Arial"/>
                <w:sz w:val="14"/>
                <w:szCs w:val="14"/>
                <w:color w:val="auto"/>
              </w:rPr>
              <w:t>Net income</w:t>
            </w:r>
          </w:p>
        </w:tc>
        <w:tc>
          <w:tcPr>
            <w:tcW w:w="2400" w:type="dxa"/>
            <w:vAlign w:val="bottom"/>
            <w:gridSpan w:val="2"/>
          </w:tcPr>
          <w:p>
            <w:pPr>
              <w:jc w:val="right"/>
              <w:ind w:right="7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16.85</w:t>
            </w:r>
          </w:p>
        </w:tc>
        <w:tc>
          <w:tcPr>
            <w:tcW w:w="10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19.48</w:t>
            </w:r>
          </w:p>
        </w:tc>
        <w:tc>
          <w:tcPr>
            <w:tcW w:w="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40" w:type="dxa"/>
            <w:vAlign w:val="bottom"/>
          </w:tcPr>
          <w:p>
            <w:pPr>
              <w:ind w:left="440"/>
              <w:spacing w:after="0"/>
              <w:rPr>
                <w:sz w:val="20"/>
                <w:szCs w:val="20"/>
                <w:color w:val="auto"/>
              </w:rPr>
            </w:pPr>
            <w:r>
              <w:rPr>
                <w:rFonts w:ascii="Arial" w:cs="Arial" w:eastAsia="Arial" w:hAnsi="Arial"/>
                <w:sz w:val="14"/>
                <w:szCs w:val="14"/>
                <w:color w:val="auto"/>
              </w:rPr>
              <w:t>Average number of shares outstanding</w:t>
            </w: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color w:val="auto"/>
              </w:rPr>
              <w:t>Adjusted Diluted Earnings Per Share</w:t>
            </w: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7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740" w:type="dxa"/>
            <w:vAlign w:val="bottom"/>
          </w:tcPr>
          <w:p>
            <w:pPr>
              <w:ind w:left="440"/>
              <w:spacing w:after="0"/>
              <w:rPr>
                <w:sz w:val="20"/>
                <w:szCs w:val="20"/>
                <w:color w:val="auto"/>
              </w:rPr>
            </w:pPr>
            <w:r>
              <w:rPr>
                <w:rFonts w:ascii="Arial" w:cs="Arial" w:eastAsia="Arial" w:hAnsi="Arial"/>
                <w:sz w:val="14"/>
                <w:szCs w:val="14"/>
                <w:color w:val="auto"/>
              </w:rPr>
              <w:t>Net income</w:t>
            </w:r>
          </w:p>
        </w:tc>
        <w:tc>
          <w:tcPr>
            <w:tcW w:w="2400" w:type="dxa"/>
            <w:vAlign w:val="bottom"/>
            <w:gridSpan w:val="2"/>
          </w:tcPr>
          <w:p>
            <w:pPr>
              <w:jc w:val="right"/>
              <w:ind w:right="7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19.33</w:t>
            </w:r>
          </w:p>
        </w:tc>
        <w:tc>
          <w:tcPr>
            <w:tcW w:w="10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18.08</w:t>
            </w:r>
          </w:p>
        </w:tc>
        <w:tc>
          <w:tcPr>
            <w:tcW w:w="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40" w:type="dxa"/>
            <w:vAlign w:val="bottom"/>
          </w:tcPr>
          <w:p>
            <w:pPr>
              <w:ind w:left="440"/>
              <w:spacing w:after="0"/>
              <w:rPr>
                <w:sz w:val="20"/>
                <w:szCs w:val="20"/>
                <w:color w:val="auto"/>
              </w:rPr>
            </w:pPr>
            <w:r>
              <w:rPr>
                <w:rFonts w:ascii="Arial" w:cs="Arial" w:eastAsia="Arial" w:hAnsi="Arial"/>
                <w:sz w:val="14"/>
                <w:szCs w:val="14"/>
                <w:color w:val="auto"/>
              </w:rPr>
              <w:t>Average number of shares outstanding</w:t>
            </w: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tax impact of pre-tax adjustments was calculated using the effective tax rate of the operating unit for which each adjustment is associated.</w:t>
      </w:r>
    </w:p>
    <w:p>
      <w:pPr>
        <w:spacing w:after="0" w:line="200" w:lineRule="exact"/>
        <w:rPr>
          <w:rFonts w:ascii="Arial" w:cs="Arial" w:eastAsia="Arial" w:hAnsi="Arial"/>
          <w:sz w:val="14"/>
          <w:szCs w:val="14"/>
          <w:color w:val="auto"/>
        </w:rPr>
      </w:pPr>
    </w:p>
    <w:p>
      <w:pPr>
        <w:spacing w:after="0" w:line="327" w:lineRule="exact"/>
        <w:rPr>
          <w:rFonts w:ascii="Arial" w:cs="Arial" w:eastAsia="Arial" w:hAnsi="Arial"/>
          <w:sz w:val="14"/>
          <w:szCs w:val="14"/>
          <w:color w:val="auto"/>
        </w:rPr>
      </w:pPr>
    </w:p>
    <w:p>
      <w:pPr>
        <w:ind w:left="3020"/>
        <w:spacing w:after="0"/>
        <w:rPr>
          <w:rFonts w:ascii="Arial" w:cs="Arial" w:eastAsia="Arial" w:hAnsi="Arial"/>
          <w:sz w:val="14"/>
          <w:szCs w:val="14"/>
          <w:color w:val="auto"/>
        </w:rPr>
      </w:pPr>
      <w:r>
        <w:rPr>
          <w:rFonts w:ascii="Arial" w:cs="Arial" w:eastAsia="Arial" w:hAnsi="Arial"/>
          <w:sz w:val="14"/>
          <w:szCs w:val="14"/>
          <w:color w:val="auto"/>
        </w:rPr>
        <w:t>The "Footnotes to Financial Statements" are integral parts of this financial information.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98" w:right="5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4"/>
        </w:trPr>
        <w:tc>
          <w:tcPr>
            <w:tcW w:w="7480" w:type="dxa"/>
            <w:vAlign w:val="bottom"/>
            <w:gridSpan w:val="6"/>
          </w:tcPr>
          <w:p>
            <w:pPr>
              <w:ind w:left="3900"/>
              <w:spacing w:after="0"/>
              <w:rPr>
                <w:sz w:val="20"/>
                <w:szCs w:val="20"/>
                <w:color w:val="auto"/>
              </w:rPr>
            </w:pPr>
            <w:r>
              <w:rPr>
                <w:rFonts w:ascii="Arial" w:cs="Arial" w:eastAsia="Arial" w:hAnsi="Arial"/>
                <w:sz w:val="13"/>
                <w:szCs w:val="13"/>
                <w:b w:val="1"/>
                <w:bCs w:val="1"/>
                <w:color w:val="auto"/>
              </w:rPr>
              <w:t>CHEMED CORPORATION AND SUBSIDIARY COMPANIES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gridSpan w:val="6"/>
          </w:tcPr>
          <w:p>
            <w:pPr>
              <w:ind w:left="3880"/>
              <w:spacing w:after="0"/>
              <w:rPr>
                <w:sz w:val="20"/>
                <w:szCs w:val="20"/>
                <w:color w:val="auto"/>
              </w:rPr>
            </w:pPr>
            <w:r>
              <w:rPr>
                <w:rFonts w:ascii="Arial" w:cs="Arial" w:eastAsia="Arial" w:hAnsi="Arial"/>
                <w:sz w:val="13"/>
                <w:szCs w:val="13"/>
                <w:b w:val="1"/>
                <w:bCs w:val="1"/>
                <w:color w:val="auto"/>
                <w:w w:val="97"/>
              </w:rPr>
              <w:t>OPERATING STATISTICS FOR VITAS SEGMENT(unaudited)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3"/>
                <w:szCs w:val="13"/>
                <w:color w:val="auto"/>
                <w:w w:val="93"/>
              </w:rPr>
              <w:t>Three Months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ind w:left="360"/>
              <w:spacing w:after="0"/>
              <w:rPr>
                <w:sz w:val="20"/>
                <w:szCs w:val="20"/>
                <w:color w:val="auto"/>
              </w:rPr>
            </w:pPr>
            <w:r>
              <w:rPr>
                <w:rFonts w:ascii="Arial" w:cs="Arial" w:eastAsia="Arial" w:hAnsi="Arial"/>
                <w:sz w:val="13"/>
                <w:szCs w:val="13"/>
                <w:color w:val="auto"/>
              </w:rPr>
              <w:t>Year Ended December 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Arial" w:cs="Arial" w:eastAsia="Arial" w:hAnsi="Arial"/>
                <w:sz w:val="13"/>
                <w:szCs w:val="13"/>
                <w:color w:val="auto"/>
              </w:rPr>
              <w:t>OPERATING STATISTICS</w:t>
            </w: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220"/>
              <w:spacing w:after="0"/>
              <w:rPr>
                <w:sz w:val="20"/>
                <w:szCs w:val="20"/>
                <w:color w:val="auto"/>
              </w:rPr>
            </w:pPr>
            <w:r>
              <w:rPr>
                <w:rFonts w:ascii="Arial" w:cs="Arial" w:eastAsia="Arial" w:hAnsi="Arial"/>
                <w:sz w:val="13"/>
                <w:szCs w:val="13"/>
                <w:color w:val="auto"/>
              </w:rPr>
              <w:t>Net revenue ($000)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Homecare</w:t>
            </w:r>
          </w:p>
        </w:tc>
        <w:tc>
          <w:tcPr>
            <w:tcW w:w="240" w:type="dxa"/>
            <w:vAlign w:val="bottom"/>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272,949</w:t>
            </w:r>
          </w:p>
        </w:tc>
        <w:tc>
          <w:tcPr>
            <w:tcW w:w="54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279,410</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1,069,766</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1,106,358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27,291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28,973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113,187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114,956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Continuous 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20,680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30,175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94,338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136,011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2,902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12,142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11,164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Arial" w:cs="Arial" w:eastAsia="Arial" w:hAnsi="Arial"/>
                <w:sz w:val="13"/>
                <w:szCs w:val="13"/>
                <w:color w:val="auto"/>
              </w:rPr>
              <w:t>Subtotal</w:t>
            </w:r>
          </w:p>
        </w:tc>
        <w:tc>
          <w:tcPr>
            <w:tcW w:w="240" w:type="dxa"/>
            <w:vAlign w:val="bottom"/>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323,822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341,542</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1,289,433</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1,368,489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Room and board, net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(2,609)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(2,858)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(10,060)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(12,174)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Contractual allowances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(2,101)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(3,994)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(11,530)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(14,970)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Medicare cap allowance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(6,597)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(6,678)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Arial" w:cs="Arial" w:eastAsia="Arial" w:hAnsi="Arial"/>
                <w:sz w:val="13"/>
                <w:szCs w:val="13"/>
                <w:color w:val="auto"/>
              </w:rPr>
              <w:t>Total</w:t>
            </w:r>
          </w:p>
        </w:tc>
        <w:tc>
          <w:tcPr>
            <w:tcW w:w="240" w:type="dxa"/>
            <w:vAlign w:val="bottom"/>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316,112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332,190</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1,261,246</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1,334,667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Arial" w:cs="Arial" w:eastAsia="Arial" w:hAnsi="Arial"/>
                <w:sz w:val="13"/>
                <w:szCs w:val="13"/>
                <w:color w:val="auto"/>
              </w:rPr>
              <w:t>Net revenue as a percent of total before Medicare cap allowance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Homecare</w:t>
            </w:r>
          </w:p>
        </w:tc>
        <w:tc>
          <w:tcPr>
            <w:tcW w:w="240" w:type="dxa"/>
            <w:vAlign w:val="bottom"/>
          </w:tcPr>
          <w:p>
            <w:pPr>
              <w:spacing w:after="0"/>
              <w:rPr>
                <w:sz w:val="16"/>
                <w:szCs w:val="16"/>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84.3%</w:t>
            </w:r>
          </w:p>
        </w:tc>
        <w:tc>
          <w:tcPr>
            <w:tcW w:w="3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83.0%</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8.4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8.8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Continuous 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6.4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Arial" w:cs="Arial" w:eastAsia="Arial" w:hAnsi="Arial"/>
                <w:sz w:val="13"/>
                <w:szCs w:val="13"/>
                <w:color w:val="auto"/>
              </w:rPr>
              <w:t>Subtotal</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100.0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Room and board, net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Contractual allowances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Medicare cap allowance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tcPr>
          <w:p>
            <w:pPr>
              <w:ind w:left="8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97.6%</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97.3%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97.8%</w:t>
            </w:r>
          </w:p>
        </w:tc>
        <w:tc>
          <w:tcPr>
            <w:tcW w:w="2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97.5%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Arial" w:cs="Arial" w:eastAsia="Arial" w:hAnsi="Arial"/>
                <w:sz w:val="13"/>
                <w:szCs w:val="13"/>
                <w:color w:val="auto"/>
              </w:rPr>
              <w:t>Days of Care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Homecare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1,338,955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1,404,532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5,347,170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5,597,213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Nursing home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257,416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253,261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993,322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1,097,493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5,894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4,971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21,403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20,387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Arial" w:cs="Arial" w:eastAsia="Arial" w:hAnsi="Arial"/>
                <w:sz w:val="13"/>
                <w:szCs w:val="13"/>
                <w:color w:val="auto"/>
              </w:rPr>
              <w:t>Subtotal routine homecare and 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1,602,265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1,662,764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6,361,895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6,715,093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25,556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27,811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107,685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112,718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Continuous care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22,154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31,493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101,539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141,693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1,649,975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1,722,068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6,571,119</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6,969,504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tcPr>
          <w:p>
            <w:pPr>
              <w:ind w:left="220"/>
              <w:spacing w:after="0"/>
              <w:rPr>
                <w:sz w:val="20"/>
                <w:szCs w:val="20"/>
                <w:color w:val="auto"/>
              </w:rPr>
            </w:pPr>
            <w:r>
              <w:rPr>
                <w:rFonts w:ascii="Arial" w:cs="Arial" w:eastAsia="Arial" w:hAnsi="Arial"/>
                <w:sz w:val="13"/>
                <w:szCs w:val="13"/>
                <w:color w:val="auto"/>
              </w:rPr>
              <w:t>Number of days in relevant time period</w:t>
            </w:r>
          </w:p>
        </w:tc>
        <w:tc>
          <w:tcPr>
            <w:tcW w:w="2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92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365</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366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Arial" w:cs="Arial" w:eastAsia="Arial" w:hAnsi="Arial"/>
                <w:sz w:val="13"/>
                <w:szCs w:val="13"/>
                <w:color w:val="auto"/>
              </w:rPr>
              <w:t>Average daily census ("ADC") (days)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Homecare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14,554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15,267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14,649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15,293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Nursing home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2,798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2,753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2,721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2,999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64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Arial" w:cs="Arial" w:eastAsia="Arial" w:hAnsi="Arial"/>
                <w:sz w:val="13"/>
                <w:szCs w:val="13"/>
                <w:color w:val="auto"/>
              </w:rPr>
              <w:t>Subtotal routine homecare and 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17,416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18,074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17,429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18,347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278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295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308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Continuous care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241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279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387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17,935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18,718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18,003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19,042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00" w:type="dxa"/>
            <w:vAlign w:val="bottom"/>
          </w:tcPr>
          <w:p>
            <w:pPr>
              <w:ind w:left="220"/>
              <w:spacing w:after="0"/>
              <w:rPr>
                <w:sz w:val="20"/>
                <w:szCs w:val="20"/>
                <w:color w:val="auto"/>
              </w:rPr>
            </w:pPr>
            <w:r>
              <w:rPr>
                <w:rFonts w:ascii="Arial" w:cs="Arial" w:eastAsia="Arial" w:hAnsi="Arial"/>
                <w:sz w:val="13"/>
                <w:szCs w:val="13"/>
                <w:color w:val="auto"/>
              </w:rPr>
              <w:t>Total Admissions</w:t>
            </w:r>
          </w:p>
        </w:tc>
        <w:tc>
          <w:tcPr>
            <w:tcW w:w="2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16,250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17,960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68,823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71,328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Arial" w:cs="Arial" w:eastAsia="Arial" w:hAnsi="Arial"/>
                <w:sz w:val="13"/>
                <w:szCs w:val="13"/>
                <w:color w:val="auto"/>
              </w:rPr>
              <w:t>Total Discharges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16,684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18,570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69,411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72,009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Arial" w:cs="Arial" w:eastAsia="Arial" w:hAnsi="Arial"/>
                <w:sz w:val="13"/>
                <w:szCs w:val="13"/>
                <w:color w:val="auto"/>
              </w:rPr>
              <w:t>Average length of stay (days)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97.9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95.7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Arial" w:cs="Arial" w:eastAsia="Arial" w:hAnsi="Arial"/>
                <w:sz w:val="13"/>
                <w:szCs w:val="13"/>
                <w:color w:val="auto"/>
              </w:rPr>
              <w:t>Median length of stay (days)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15.0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13.0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Arial" w:cs="Arial" w:eastAsia="Arial" w:hAnsi="Arial"/>
                <w:sz w:val="13"/>
                <w:szCs w:val="13"/>
                <w:color w:val="auto"/>
              </w:rPr>
              <w:t>ADC by major diagnosis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Cerebro</w:t>
            </w:r>
          </w:p>
        </w:tc>
        <w:tc>
          <w:tcPr>
            <w:tcW w:w="240" w:type="dxa"/>
            <w:vAlign w:val="bottom"/>
          </w:tcPr>
          <w:p>
            <w:pPr>
              <w:spacing w:after="0"/>
              <w:rPr>
                <w:sz w:val="16"/>
                <w:szCs w:val="16"/>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36.5%</w:t>
            </w:r>
          </w:p>
        </w:tc>
        <w:tc>
          <w:tcPr>
            <w:tcW w:w="3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36.7%</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Neurological</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23.0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22.6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Cancer</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Cardio</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15.6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15.5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Respiratory</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7.5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8.1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5.9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tcPr>
          <w:p>
            <w:pPr>
              <w:ind w:left="8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100.0%</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100.0%</w:t>
            </w:r>
          </w:p>
        </w:tc>
        <w:tc>
          <w:tcPr>
            <w:tcW w:w="2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Arial" w:cs="Arial" w:eastAsia="Arial" w:hAnsi="Arial"/>
                <w:sz w:val="13"/>
                <w:szCs w:val="13"/>
                <w:color w:val="auto"/>
              </w:rPr>
              <w:t>Admissions by major diagnosis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Cerebro</w:t>
            </w:r>
          </w:p>
        </w:tc>
        <w:tc>
          <w:tcPr>
            <w:tcW w:w="240" w:type="dxa"/>
            <w:vAlign w:val="bottom"/>
          </w:tcPr>
          <w:p>
            <w:pPr>
              <w:spacing w:after="0"/>
              <w:rPr>
                <w:sz w:val="16"/>
                <w:szCs w:val="16"/>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22.5%</w:t>
            </w:r>
          </w:p>
        </w:tc>
        <w:tc>
          <w:tcPr>
            <w:tcW w:w="3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21.5%</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Neurological</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12.7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12.3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Cancer</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26.6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26.9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Cardio</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14.8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14.5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Arial" w:cs="Arial" w:eastAsia="Arial" w:hAnsi="Arial"/>
                <w:sz w:val="13"/>
                <w:szCs w:val="13"/>
                <w:color w:val="auto"/>
              </w:rPr>
              <w:t>Respiratory</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Arial" w:cs="Arial" w:eastAsia="Arial" w:hAnsi="Arial"/>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12.4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13.9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100.0%</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100.0%</w:t>
            </w:r>
          </w:p>
        </w:tc>
        <w:tc>
          <w:tcPr>
            <w:tcW w:w="2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00" w:type="dxa"/>
            <w:vAlign w:val="bottom"/>
          </w:tcPr>
          <w:p>
            <w:pPr>
              <w:ind w:left="120"/>
              <w:spacing w:after="0"/>
              <w:rPr>
                <w:sz w:val="20"/>
                <w:szCs w:val="20"/>
                <w:color w:val="auto"/>
              </w:rPr>
            </w:pPr>
            <w:r>
              <w:rPr>
                <w:rFonts w:ascii="Arial" w:cs="Arial" w:eastAsia="Arial" w:hAnsi="Arial"/>
                <w:sz w:val="13"/>
                <w:szCs w:val="13"/>
                <w:color w:val="auto"/>
              </w:rPr>
              <w:t>Bad debt expense as a percent of revenues</w:t>
            </w:r>
          </w:p>
        </w:tc>
        <w:tc>
          <w:tcPr>
            <w:tcW w:w="2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0.7</w:t>
            </w:r>
          </w:p>
        </w:tc>
        <w:tc>
          <w:tcPr>
            <w:tcW w:w="54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360" w:type="dxa"/>
            <w:vAlign w:val="bottom"/>
            <w:gridSpan w:val="2"/>
          </w:tcPr>
          <w:p>
            <w:pPr>
              <w:jc w:val="right"/>
              <w:ind w:right="260"/>
              <w:spacing w:after="0"/>
              <w:rPr>
                <w:sz w:val="20"/>
                <w:szCs w:val="20"/>
                <w:color w:val="auto"/>
              </w:rPr>
            </w:pPr>
            <w:r>
              <w:rPr>
                <w:rFonts w:ascii="Arial" w:cs="Arial" w:eastAsia="Arial" w:hAnsi="Arial"/>
                <w:sz w:val="12"/>
                <w:szCs w:val="12"/>
                <w:color w:val="auto"/>
                <w:w w:val="74"/>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0.9</w:t>
            </w: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ind w:left="120"/>
              <w:spacing w:after="0"/>
              <w:rPr>
                <w:sz w:val="20"/>
                <w:szCs w:val="20"/>
                <w:color w:val="auto"/>
              </w:rPr>
            </w:pPr>
            <w:r>
              <w:rPr>
                <w:rFonts w:ascii="Arial" w:cs="Arial" w:eastAsia="Arial" w:hAnsi="Arial"/>
                <w:sz w:val="13"/>
                <w:szCs w:val="13"/>
                <w:color w:val="auto"/>
              </w:rPr>
              <w:t>Accounts receivable --Days of revenue outstanding- excluding unapplied Medicare payments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33.8</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N.A.</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w w:val="94"/>
              </w:rPr>
              <w:t>N.A.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ind w:left="120"/>
              <w:spacing w:after="0"/>
              <w:rPr>
                <w:sz w:val="20"/>
                <w:szCs w:val="20"/>
                <w:color w:val="auto"/>
              </w:rPr>
            </w:pPr>
            <w:r>
              <w:rPr>
                <w:rFonts w:ascii="Arial" w:cs="Arial" w:eastAsia="Arial" w:hAnsi="Arial"/>
                <w:sz w:val="13"/>
                <w:szCs w:val="13"/>
                <w:color w:val="auto"/>
              </w:rPr>
              <w:t>Accounts receivable--Days of revenue outstanding- including unapplied Medicare payments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28.1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N.A.</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w w:val="94"/>
              </w:rPr>
              <w:t>N.A.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8" w:name="page99"/>
    <w:bookmarkEnd w:id="98"/>
    <w:p>
      <w:pPr>
        <w:jc w:val="both"/>
        <w:ind w:right="20"/>
        <w:spacing w:after="0" w:line="246" w:lineRule="auto"/>
        <w:rPr>
          <w:sz w:val="20"/>
          <w:szCs w:val="20"/>
          <w:color w:val="auto"/>
        </w:rPr>
      </w:pPr>
      <w:r>
        <w:rPr>
          <w:rFonts w:ascii="Arial" w:cs="Arial" w:eastAsia="Arial" w:hAnsi="Arial"/>
          <w:sz w:val="18"/>
          <w:szCs w:val="18"/>
          <w:i w:val="1"/>
          <w:iCs w:val="1"/>
          <w:u w:val="single" w:color="auto"/>
          <w:color w:val="auto"/>
        </w:rPr>
        <w:t>SAFE HARBOR STATEMENT UNDER THE PRIVATE SECURITIES LITIGATION REFORM ACT OF 1995 REGARDING FORWARD-LOOKING INFORMATION</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addition to historical information, this report contains forward-looking statements and performance trends that are based upon assumptions subject to certain known and unknown risks, uncertainties, contingencies and other factors. Such forward-looking statements and trends include, but are not limited to, the impact of laws and regulations on our operations, our estimate of future effective income tax rates and the recoverability of deferred tax assets. Variances in any or all of the risks, uncertainties, contingencies, and other factors from our assumptions could cause actual results to differ materially from these forward-looking statements and trends. Our ability to deal with the unknown outcomes of these events, many of which are beyond our control, may affect the reliability of our projections and other financial matters.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0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t>EXHIBIT 10.19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CHEMED CORPORATION</w:t>
      </w:r>
    </w:p>
    <w:p>
      <w:pPr>
        <w:jc w:val="center"/>
        <w:spacing w:after="0" w:line="203" w:lineRule="auto"/>
        <w:rPr>
          <w:sz w:val="20"/>
          <w:szCs w:val="20"/>
          <w:color w:val="auto"/>
        </w:rPr>
      </w:pPr>
      <w:r>
        <w:rPr>
          <w:rFonts w:ascii="Arial" w:cs="Arial" w:eastAsia="Arial" w:hAnsi="Arial"/>
          <w:sz w:val="18"/>
          <w:szCs w:val="18"/>
          <w:b w:val="1"/>
          <w:bCs w:val="1"/>
          <w:color w:val="auto"/>
        </w:rPr>
        <w:t>CHANGE IN CONTROL SEVERANCE PLAN</w:t>
      </w:r>
    </w:p>
    <w:p>
      <w:pPr>
        <w:jc w:val="center"/>
        <w:spacing w:after="0"/>
        <w:rPr>
          <w:sz w:val="20"/>
          <w:szCs w:val="20"/>
          <w:color w:val="auto"/>
        </w:rPr>
      </w:pPr>
      <w:r>
        <w:rPr>
          <w:rFonts w:ascii="Arial" w:cs="Arial" w:eastAsia="Arial" w:hAnsi="Arial"/>
          <w:sz w:val="18"/>
          <w:szCs w:val="18"/>
          <w:b w:val="1"/>
          <w:bCs w:val="1"/>
          <w:color w:val="auto"/>
        </w:rPr>
        <w:t>AS AMENDED AUGUST 3,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ESTABLISHMENT AND AMENDMENT OF PLAN</w:t>
      </w:r>
    </w:p>
    <w:p>
      <w:pPr>
        <w:spacing w:after="0" w:line="189"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color w:val="auto"/>
        </w:rPr>
        <w:t>As of the Effective Date, the Company (as such term is hereinafter defined) established the Chemed Corporation Change in Control Severance Plan, as set forth in this document. As of the Amendment Date, the Company amended the Plan to provide that the tax gross-up provisions in Section 6.3 shall apply only to those individuals who were Participants in the Plan on the Amendment Date and not to anyone designated as a Participant following the Amendment Date (all such terms are hereinafter defined).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color w:val="auto"/>
        </w:rPr>
        <w:t>Chemed Corporation, by means of this Change in Control Severance Plan, desires to provide Participants (as such term is hereinafter defined) with certain severance protections in the event of a Change in Control of the Company (as both terms are hereinafter defined) in order to minimize the personal financial concerns and to promote the best interests of the Company and any successor.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8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As used herein, the following words and phrases shall have meanings set forth below (unless the context clearly indicates otherwise):</w:t>
      </w:r>
    </w:p>
    <w:p>
      <w:pPr>
        <w:spacing w:after="0" w:line="16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Committee</w:t>
      </w:r>
      <w:r>
        <w:rPr>
          <w:rFonts w:ascii="Arial" w:cs="Arial" w:eastAsia="Arial" w:hAnsi="Arial"/>
          <w:sz w:val="18"/>
          <w:szCs w:val="18"/>
          <w:color w:val="auto"/>
        </w:rPr>
        <w:t>” shall mean the Compensation/ Incentive Committee of the Board of Directors or such other committee as determined by the Board of Directors.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an entity directly or indirectly controlled by, controlling, or under common control with the Company.</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Date</w:t>
      </w:r>
      <w:r>
        <w:rPr>
          <w:rFonts w:ascii="Arial" w:cs="Arial" w:eastAsia="Arial" w:hAnsi="Arial"/>
          <w:sz w:val="18"/>
          <w:szCs w:val="18"/>
          <w:color w:val="auto"/>
        </w:rPr>
        <w:t>” shall mean August 3, 2018.</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mean the average of the amounts of the Participant’s bonuses under an Employer’s annual bonus plan paid or payable for the last three full fiscal years prior to the Change in Control Date, or if more favorable to the Participant, the Date of Termination. The amount shall include any annual bonus or portion thereof which has been earned but deferred, and in the event that the Participant was not employed by an Employer for the whole of a particular fiscal year and such amount received by the Participant was reduced pro-rata to reflect this fact, the amount shall be annualized.</w:t>
      </w:r>
    </w:p>
    <w:p>
      <w:pPr>
        <w:spacing w:after="0" w:line="162"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shall mean the amount a Participant is entitled to receive from an Employer in cash as wages or salary on an annualized basis in consideration for his or her services, including any such amounts which may have been deferred, but excluding all other elements of compensation such as, without limitation, any bonus, commissions, overtime, health benefits, perquisites, and incentive compensation.</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shall mean those designated by the Participant, or if not so designated: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respect to a Participant who was married at the time of death, his or her surviving spouse; and</w:t>
      </w:r>
    </w:p>
    <w:p>
      <w:pPr>
        <w:spacing w:after="0" w:line="185" w:lineRule="exact"/>
        <w:rPr>
          <w:sz w:val="20"/>
          <w:szCs w:val="20"/>
          <w:color w:val="auto"/>
        </w:rPr>
      </w:pPr>
    </w:p>
    <w:p>
      <w:pPr>
        <w:ind w:left="640" w:right="20" w:firstLine="648"/>
        <w:spacing w:after="0" w:line="235" w:lineRule="auto"/>
        <w:rPr>
          <w:sz w:val="20"/>
          <w:szCs w:val="20"/>
          <w:color w:val="auto"/>
        </w:rPr>
      </w:pPr>
      <w:r>
        <w:rPr>
          <w:rFonts w:ascii="Arial" w:cs="Arial" w:eastAsia="Arial" w:hAnsi="Arial"/>
          <w:sz w:val="18"/>
          <w:szCs w:val="18"/>
          <w:color w:val="auto"/>
        </w:rPr>
        <w:t>with respect to a Participant who was not married at the time of death, the legal representative of the Participant’s estate under the laws of the state of the Participant’s domicile at the time of death.</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8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with respect to a Participant’s termination of employment: (a) the willful and repeated failure of the Participant to perform substantially the Participant’s duties with an Employer (other than any such failure resulting from incapacity due to physical or mental illness); (b) the Participant’s conviction of, or plea of guilty or nolo contendere to, which through lapse of time or otherwise is not subject to appeal, a felony which is materially and demonstrably injurious to an Employer; or (c) the Participant’s engagement in willful gross misconduct or gross negligence in connection with his or her employment.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first to occur of any of the following events after the Effective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3" w:right="979" w:bottom="1440" w:gutter="0" w:footer="0" w:header="0"/>
        </w:sectPr>
      </w:pPr>
    </w:p>
    <w:bookmarkStart w:id="100" w:name="page101"/>
    <w:bookmarkEnd w:id="100"/>
    <w:p>
      <w:pPr>
        <w:jc w:val="both"/>
        <w:ind w:left="640" w:right="20" w:firstLine="648"/>
        <w:spacing w:after="0" w:line="226" w:lineRule="auto"/>
        <w:rPr>
          <w:sz w:val="20"/>
          <w:szCs w:val="20"/>
          <w:color w:val="auto"/>
        </w:rPr>
      </w:pPr>
      <w:r>
        <w:rPr>
          <w:rFonts w:ascii="Arial" w:cs="Arial" w:eastAsia="Arial" w:hAnsi="Arial"/>
          <w:sz w:val="17"/>
          <w:szCs w:val="17"/>
          <w:color w:val="auto"/>
        </w:rPr>
        <w:t>the direct or indirect acquisition by any person, corporation, entity, or group (within the meaning of Section 13(d)(3) or 14(d)(2) of the Securities Exchange Act of 1934 (the “Exchange Act”)) (a “Person”) of the beneficial ownership (within the meaning of Rule 13d-3 promulgated under the Exchange Act) of 30% or more of either the then outstanding capital stock of the Company (“Outstanding Capital Stock”) or the combined voting power of the then outstanding voting securities of the Company entitled to vote in the election of members of the Board (“Outstanding Voting Securities”) in a single transaction or series of transactions; provided, however, that the following acquisitions shall not constitute a Change in Control:</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acquisition from the Company or an Affiliate;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acquisition by the Company or an Affiliate;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 acquisition by an employee benefit plan or related trust sponsored or maintained by the Company or an Affiliate; or</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 acquisition by any corporation pursuant to a transaction which complies with clauses (i), (ii), and (iii) of Subsection</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 of this Section 3.8;</w:t>
      </w:r>
    </w:p>
    <w:p>
      <w:pPr>
        <w:spacing w:after="0" w:line="169" w:lineRule="exact"/>
        <w:rPr>
          <w:sz w:val="20"/>
          <w:szCs w:val="20"/>
          <w:color w:val="auto"/>
        </w:rPr>
      </w:pPr>
    </w:p>
    <w:p>
      <w:pPr>
        <w:jc w:val="both"/>
        <w:ind w:left="640" w:right="20" w:firstLine="648"/>
        <w:spacing w:after="0" w:line="225" w:lineRule="auto"/>
        <w:rPr>
          <w:sz w:val="20"/>
          <w:szCs w:val="20"/>
          <w:color w:val="auto"/>
        </w:rPr>
      </w:pPr>
      <w:r>
        <w:rPr>
          <w:rFonts w:ascii="Arial" w:cs="Arial" w:eastAsia="Arial" w:hAnsi="Arial"/>
          <w:sz w:val="17"/>
          <w:szCs w:val="17"/>
          <w:color w:val="auto"/>
        </w:rPr>
        <w:t>Individuals who, as of the Effective Date, constitute the Board (the “Incumbent Board”) cease for any reason to constitute at least a majority of the Board, provided, however, that any individual becoming a Board member subsequent to the Effective Date whose election, or nomination for election by the Company’s shareholders, was approved by a vote of at least a majority of the Board members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Board members or other actual or threatened solicitation of proxies or consents by or on behalf of a Person other than the Board;</w:t>
      </w:r>
    </w:p>
    <w:p>
      <w:pPr>
        <w:spacing w:after="0" w:line="162" w:lineRule="exact"/>
        <w:rPr>
          <w:sz w:val="20"/>
          <w:szCs w:val="20"/>
          <w:color w:val="auto"/>
        </w:rPr>
      </w:pPr>
    </w:p>
    <w:p>
      <w:pPr>
        <w:jc w:val="both"/>
        <w:ind w:left="640" w:firstLine="648"/>
        <w:spacing w:after="0" w:line="222" w:lineRule="auto"/>
        <w:rPr>
          <w:sz w:val="20"/>
          <w:szCs w:val="20"/>
          <w:color w:val="auto"/>
        </w:rPr>
      </w:pPr>
      <w:r>
        <w:rPr>
          <w:rFonts w:ascii="Arial" w:cs="Arial" w:eastAsia="Arial" w:hAnsi="Arial"/>
          <w:sz w:val="17"/>
          <w:szCs w:val="17"/>
          <w:color w:val="auto"/>
        </w:rPr>
        <w:t>the consummation of a reorganization, merger, consolidation, or similar transaction to which the Company is a party (a “Business Combination”), unless following such Business Combination: (i) the Company is the surviving corporation of such Business Combination, (ii) no Person (excluding any corporation resulting from such Business Combination or any employee benefit plan or related trust of the Company or such corporation resulting from such Business Combination) beneficially owns, directly or indirectly, 30% or more of, respectively, the then outstanding capital stock or the combined voting power of the then outstanding voting securities entitled to vote in the election of members of the board, as the case may be, of the corporation resulting from such Business Combination, except to the extent that such ownership existed prior to such Business Combination; and (iii) individuals who were members of the Incumbent Board constitute at least a majority of the members of the board of the corporation resulting from such Business Combination;</w:t>
      </w:r>
    </w:p>
    <w:p>
      <w:pPr>
        <w:spacing w:after="0" w:line="168" w:lineRule="exact"/>
        <w:rPr>
          <w:sz w:val="20"/>
          <w:szCs w:val="20"/>
          <w:color w:val="auto"/>
        </w:rPr>
      </w:pPr>
    </w:p>
    <w:p>
      <w:pPr>
        <w:jc w:val="both"/>
        <w:ind w:left="640" w:right="20" w:firstLine="648"/>
        <w:spacing w:after="0" w:line="235" w:lineRule="auto"/>
        <w:rPr>
          <w:sz w:val="20"/>
          <w:szCs w:val="20"/>
          <w:color w:val="auto"/>
        </w:rPr>
      </w:pPr>
      <w:r>
        <w:rPr>
          <w:rFonts w:ascii="Arial" w:cs="Arial" w:eastAsia="Arial" w:hAnsi="Arial"/>
          <w:sz w:val="18"/>
          <w:szCs w:val="18"/>
          <w:color w:val="auto"/>
        </w:rPr>
        <w:t>the approval by the shareholders of the Company of a plan for the complete liquidation or dissolution of the Company or the sale of all or substantially all of the assets of the Company; or</w:t>
      </w:r>
    </w:p>
    <w:p>
      <w:pPr>
        <w:spacing w:after="0" w:line="162" w:lineRule="exact"/>
        <w:rPr>
          <w:sz w:val="20"/>
          <w:szCs w:val="20"/>
          <w:color w:val="auto"/>
        </w:rPr>
      </w:pPr>
    </w:p>
    <w:p>
      <w:pPr>
        <w:jc w:val="both"/>
        <w:ind w:left="640" w:right="20" w:firstLine="648"/>
        <w:spacing w:after="0" w:line="235" w:lineRule="auto"/>
        <w:rPr>
          <w:sz w:val="20"/>
          <w:szCs w:val="20"/>
          <w:color w:val="auto"/>
        </w:rPr>
      </w:pPr>
      <w:r>
        <w:rPr>
          <w:rFonts w:ascii="Arial" w:cs="Arial" w:eastAsia="Arial" w:hAnsi="Arial"/>
          <w:sz w:val="18"/>
          <w:szCs w:val="18"/>
          <w:color w:val="auto"/>
        </w:rPr>
        <w:t>any other transaction that the Administrative Committee deems to be a Change in Control, which the Administrative Committee can deem to apply to all Participants or only those Participants it selects.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shall mean the date on which a Change in Control occurs.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Chemed Corporation and any successor thereto.</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mean the date on which a Participant’s employment with all Employers terminates.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“Disability” shall mean, with respect to a Participant’s termination of employment due to Disability: (a) a disability entitling the Participant to long-term disability benefits under the applicable long-term disability plan of the Company or an Affiliate or such other long-term disability plan under which the Participant is entitled to long-term disability benefits; or (b) if the Participant is not covered by such a plan, a physical or mental condition or illness that renders a Participant totally and permanently incapable of performing the Participant’s duties for the Company or an Affiliate for a total of 180 days or more during any consecutive 12-month period.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December 1, 2006.</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full-time employee of an Employer.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shall mean the Company or any of its Affiliates.</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1" w:name="page102"/>
    <w:bookmarkEnd w:id="101"/>
    <w:p>
      <w:pPr>
        <w:jc w:val="both"/>
        <w:ind w:right="20" w:firstLine="648"/>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 respect to any Participant, the occurrence of any of the following events after expiration of a 30-day cure period afforded the Company to remedy any of the following events claimed by the Participant following a Change in Control Date, or prior to a Change in Control Date if any such events can be reasonably demonstrated to have occurred in connection with, or in anticipation of, a Change in Control:</w:t>
      </w:r>
    </w:p>
    <w:p>
      <w:pPr>
        <w:spacing w:after="0" w:line="163" w:lineRule="exact"/>
        <w:rPr>
          <w:sz w:val="20"/>
          <w:szCs w:val="20"/>
          <w:color w:val="auto"/>
        </w:rPr>
      </w:pPr>
    </w:p>
    <w:p>
      <w:pPr>
        <w:jc w:val="both"/>
        <w:ind w:left="640" w:right="20" w:firstLine="648"/>
        <w:spacing w:after="0" w:line="216" w:lineRule="auto"/>
        <w:rPr>
          <w:sz w:val="20"/>
          <w:szCs w:val="20"/>
          <w:color w:val="auto"/>
        </w:rPr>
      </w:pPr>
      <w:r>
        <w:rPr>
          <w:rFonts w:ascii="Arial" w:cs="Arial" w:eastAsia="Arial" w:hAnsi="Arial"/>
          <w:sz w:val="18"/>
          <w:szCs w:val="18"/>
          <w:color w:val="auto"/>
        </w:rPr>
        <w:t>a material diminution in the nature and scope of the Participant’s responsibilities, authorities, powers, functions, or duties from the most significant of those responsibilities, authorities, powers, functions, or duties exercised by, and assigned to, the Participant at any time during the 120-day period prior to the Change in Control Date, other than an isolated, insubstantial, and inadvertent action not occurring in bad faith and which is remedied by the Company promptly after receipt of notice thereof given by the Participant;</w:t>
      </w:r>
    </w:p>
    <w:p>
      <w:pPr>
        <w:spacing w:after="0" w:line="162" w:lineRule="exact"/>
        <w:rPr>
          <w:sz w:val="20"/>
          <w:szCs w:val="20"/>
          <w:color w:val="auto"/>
        </w:rPr>
      </w:pPr>
    </w:p>
    <w:p>
      <w:pPr>
        <w:jc w:val="both"/>
        <w:ind w:left="640" w:right="20" w:firstLine="648"/>
        <w:spacing w:after="0" w:line="224" w:lineRule="auto"/>
        <w:rPr>
          <w:sz w:val="20"/>
          <w:szCs w:val="20"/>
          <w:color w:val="auto"/>
        </w:rPr>
      </w:pPr>
      <w:r>
        <w:rPr>
          <w:rFonts w:ascii="Arial" w:cs="Arial" w:eastAsia="Arial" w:hAnsi="Arial"/>
          <w:sz w:val="18"/>
          <w:szCs w:val="18"/>
          <w:color w:val="auto"/>
        </w:rPr>
        <w:t>a material reduction in the Participant’s Base Salary below the Required Base Salary, other than an isolated, insubstantial, and inadvertent reduction not occurring in bad faith and which is remedied by the Company promptly after receipt of notice thereof given by the Participant;</w:t>
      </w:r>
    </w:p>
    <w:p>
      <w:pPr>
        <w:spacing w:after="0" w:line="163" w:lineRule="exact"/>
        <w:rPr>
          <w:sz w:val="20"/>
          <w:szCs w:val="20"/>
          <w:color w:val="auto"/>
        </w:rPr>
      </w:pPr>
    </w:p>
    <w:p>
      <w:pPr>
        <w:jc w:val="both"/>
        <w:ind w:left="640" w:right="20" w:firstLine="648"/>
        <w:spacing w:after="0" w:line="224" w:lineRule="auto"/>
        <w:rPr>
          <w:sz w:val="20"/>
          <w:szCs w:val="20"/>
          <w:color w:val="auto"/>
        </w:rPr>
      </w:pPr>
      <w:r>
        <w:rPr>
          <w:rFonts w:ascii="Arial" w:cs="Arial" w:eastAsia="Arial" w:hAnsi="Arial"/>
          <w:sz w:val="18"/>
          <w:szCs w:val="18"/>
          <w:color w:val="auto"/>
        </w:rPr>
        <w:t>a material reduction in bonus under any current or subsequent annual bonus plan available to the Participant below the average of the Participant’s bonuses under an Employer’s annual bonus plan for the last three full fiscal years prior to the Change in Control Date;</w:t>
      </w:r>
    </w:p>
    <w:p>
      <w:pPr>
        <w:spacing w:after="0" w:line="163" w:lineRule="exact"/>
        <w:rPr>
          <w:sz w:val="20"/>
          <w:szCs w:val="20"/>
          <w:color w:val="auto"/>
        </w:rPr>
      </w:pPr>
    </w:p>
    <w:p>
      <w:pPr>
        <w:jc w:val="both"/>
        <w:ind w:left="640" w:right="20" w:firstLine="648"/>
        <w:spacing w:after="0" w:line="235" w:lineRule="auto"/>
        <w:rPr>
          <w:sz w:val="20"/>
          <w:szCs w:val="20"/>
          <w:color w:val="auto"/>
        </w:rPr>
      </w:pPr>
      <w:r>
        <w:rPr>
          <w:rFonts w:ascii="Arial" w:cs="Arial" w:eastAsia="Arial" w:hAnsi="Arial"/>
          <w:sz w:val="18"/>
          <w:szCs w:val="18"/>
          <w:color w:val="auto"/>
        </w:rPr>
        <w:t>a material reduction in equity-based or other long-term incentive compensation opportunity below that in effect for the Participant during the 120-day period prior to the Change in Control Date;</w:t>
      </w:r>
    </w:p>
    <w:p>
      <w:pPr>
        <w:spacing w:after="0" w:line="162" w:lineRule="exact"/>
        <w:rPr>
          <w:sz w:val="20"/>
          <w:szCs w:val="20"/>
          <w:color w:val="auto"/>
        </w:rPr>
      </w:pPr>
    </w:p>
    <w:p>
      <w:pPr>
        <w:jc w:val="both"/>
        <w:ind w:left="640" w:firstLine="648"/>
        <w:spacing w:after="0" w:line="216" w:lineRule="auto"/>
        <w:rPr>
          <w:sz w:val="20"/>
          <w:szCs w:val="20"/>
          <w:color w:val="auto"/>
        </w:rPr>
      </w:pPr>
      <w:r>
        <w:rPr>
          <w:rFonts w:ascii="Arial" w:cs="Arial" w:eastAsia="Arial" w:hAnsi="Arial"/>
          <w:sz w:val="18"/>
          <w:szCs w:val="18"/>
          <w:color w:val="auto"/>
        </w:rPr>
        <w:t>a material reduction in the aggregate level of employee benefits offered to the Participant in comparison to the most favorable of such employee benefit programs and arrangements in effect for the Participant during the 120-day period prior to the Change in Control Date, other than any across-the-board reduction applicable to all Employees and other than an isolated, insubstantial, and inadvertent reduction not occurring in bad faith and which is remedied by the Company promptly after receipt of notice thereof given by the Participant; or</w:t>
      </w:r>
    </w:p>
    <w:p>
      <w:pPr>
        <w:spacing w:after="0" w:line="162" w:lineRule="exact"/>
        <w:rPr>
          <w:sz w:val="20"/>
          <w:szCs w:val="20"/>
          <w:color w:val="auto"/>
        </w:rPr>
      </w:pPr>
    </w:p>
    <w:p>
      <w:pPr>
        <w:jc w:val="both"/>
        <w:ind w:left="640" w:firstLine="648"/>
        <w:spacing w:after="0" w:line="219" w:lineRule="auto"/>
        <w:rPr>
          <w:sz w:val="20"/>
          <w:szCs w:val="20"/>
          <w:color w:val="auto"/>
        </w:rPr>
      </w:pPr>
      <w:r>
        <w:rPr>
          <w:rFonts w:ascii="Arial" w:cs="Arial" w:eastAsia="Arial" w:hAnsi="Arial"/>
          <w:sz w:val="18"/>
          <w:szCs w:val="18"/>
          <w:color w:val="auto"/>
        </w:rPr>
        <w:t>a change at the request of an Employer in the Participant’s principal work location to a work location that is more than 50 miles from any location where the Participant was based during the 120-day period prior to the Change in Control Date, or an Employer’s requiring the Participant to travel on Employer business to a substantially greater extent than required during the 120-day period prior to the Change in Control Date; or</w:t>
      </w:r>
    </w:p>
    <w:p>
      <w:pPr>
        <w:spacing w:after="0" w:line="163" w:lineRule="exact"/>
        <w:rPr>
          <w:sz w:val="20"/>
          <w:szCs w:val="20"/>
          <w:color w:val="auto"/>
        </w:rPr>
      </w:pPr>
    </w:p>
    <w:p>
      <w:pPr>
        <w:jc w:val="both"/>
        <w:ind w:left="640" w:right="20" w:firstLine="648"/>
        <w:spacing w:after="0" w:line="235" w:lineRule="auto"/>
        <w:rPr>
          <w:sz w:val="20"/>
          <w:szCs w:val="20"/>
          <w:color w:val="auto"/>
        </w:rPr>
      </w:pPr>
      <w:r>
        <w:rPr>
          <w:rFonts w:ascii="Arial" w:cs="Arial" w:eastAsia="Arial" w:hAnsi="Arial"/>
          <w:sz w:val="18"/>
          <w:szCs w:val="18"/>
          <w:color w:val="auto"/>
        </w:rPr>
        <w:t>receipt of notice of Company’s intention to cancel or not renew any employment agreement of a Tier 1 Participant during the first year following a Change in Control.</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 Employee who is designated in Appendix A hereto to participate in the Plan or who may be added to such appendix from time to time by the Administrative Committee.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the Chemed Corporation Change in Control Severance Plan.</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Base Salary</w:t>
      </w:r>
      <w:r>
        <w:rPr>
          <w:rFonts w:ascii="Arial" w:cs="Arial" w:eastAsia="Arial" w:hAnsi="Arial"/>
          <w:sz w:val="18"/>
          <w:szCs w:val="18"/>
          <w:color w:val="auto"/>
        </w:rPr>
        <w:t>” shall mean, with respect to any Participant, the higher of: (a) the Participant’s highest Base Salary as in effect during the 120-day period prior to the Change in Control Date; and (b) the Participant’s highest Base Salary in effect at any time thereafter.</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Benefits</w:t>
      </w:r>
      <w:r>
        <w:rPr>
          <w:rFonts w:ascii="Arial" w:cs="Arial" w:eastAsia="Arial" w:hAnsi="Arial"/>
          <w:sz w:val="18"/>
          <w:szCs w:val="18"/>
          <w:color w:val="auto"/>
        </w:rPr>
        <w:t>” shall mean the payments and benefits provided in accordance with Section 6.2 of the Plan.</w:t>
      </w:r>
    </w:p>
    <w:p>
      <w:pPr>
        <w:spacing w:after="0" w:line="18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shall mean a period beginning on the Date of Termination with a duration in years equal to the severance multiple the Participant is entitled to receive under Section 6.2(a).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89"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Subject to the express provisions of the Plan, the Administrative Committee shall have the authority to interpret the Plan, to prescribe, amend, and rescind rules and regulations relating to it, and to make all other determinations deemed necessary or advisable for the administration of the Plan. The determinations of the Administrative Committee pursuant to its authority under the Plan shall be conclusive and binding.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u w:val="single" w:color="auto"/>
          <w:color w:val="auto"/>
        </w:rPr>
        <w:t>DURATION OF PARTICIPATION</w:t>
      </w:r>
    </w:p>
    <w:p>
      <w:pPr>
        <w:spacing w:after="0" w:line="18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u w:val="single" w:color="auto"/>
          <w:color w:val="auto"/>
        </w:rPr>
        <w:t>Duration of Participation</w:t>
      </w:r>
      <w:r>
        <w:rPr>
          <w:rFonts w:ascii="Arial" w:cs="Arial" w:eastAsia="Arial" w:hAnsi="Arial"/>
          <w:sz w:val="17"/>
          <w:szCs w:val="17"/>
          <w:color w:val="auto"/>
        </w:rPr>
        <w:t>. A Participant shall cease to be a Participant in the Plan when he or she no longer is an Employee of any Employer. Notwithstanding the foregoing, a Participant who is entitled, as a result of ceasing to be an Employee of an Employer, to receipt of Severance Benefits or any other amounts under the Plan shall remain a Participant in the Plan until the full amount of the Severance Benefits and any other amounts payable under the Plan have been paid to the Participant.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Right to Severance Benefits</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u w:val="single" w:color="auto"/>
          <w:color w:val="auto"/>
        </w:rPr>
        <w:t>Terminations Which Give Rise to Severance Benefits</w:t>
      </w:r>
      <w:r>
        <w:rPr>
          <w:rFonts w:ascii="Arial" w:cs="Arial" w:eastAsia="Arial" w:hAnsi="Arial"/>
          <w:sz w:val="16"/>
          <w:szCs w:val="16"/>
          <w:color w:val="auto"/>
        </w:rPr>
        <w:t>. A Participant shall be entitled to receive Severance Benefits as provided in Section 6.2, if a Change in Control has occurred and the Participant’s employment with an Employer is terminated under the following circumstances: (i) by action of the Employer, unless the termination is for Cause; or (ii) by action of the Participant within 90 days after the occurrence of an event constituting Good Reason; provided, in either event, that (x) such termination occurs after such Change in Control and on or before the second anniversary thereof, or (y) the termination described in clause (i) above or the event constituting Good Reason giving rise to the termination described in clause (ii) above, as applicable, occurs before such Change in Control but the Participant can reasonably demonstrate that such termination or event, as applicable, occurred in connection with, or in anticipation of, a Change in Control. Severance Benefits or any other amounts otherwise payable to a Participant under the Plan shall be conditioned upon execution of a general release of claims in favor of the Company in a form satisfactory to the Company’s counsel.</w:t>
      </w:r>
    </w:p>
    <w:p>
      <w:pPr>
        <w:spacing w:after="0" w:line="167"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u w:val="single" w:color="auto"/>
          <w:color w:val="auto"/>
        </w:rPr>
        <w:t>Terminations Which Do Not Give Rise to Severance Benefits</w:t>
      </w:r>
      <w:r>
        <w:rPr>
          <w:rFonts w:ascii="Arial" w:cs="Arial" w:eastAsia="Arial" w:hAnsi="Arial"/>
          <w:sz w:val="17"/>
          <w:szCs w:val="17"/>
          <w:color w:val="auto"/>
        </w:rPr>
        <w:t>. If a Participant’s employment is terminated: (i) by an Employer for Cause; (ii) due to the Participant’s death or Disability; or (iii) by the Participant other than for Good Reason, the Participant shall not be entitled to the Severance Benefits under the Plan, regardless of the occurrence of a Change in Control.</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If a Participant’s employment is terminated in circumstances entitling him or her to Severance Benefits as provided in Section 6.1(a), the Company shall pay such Participant (or in the event of a Participant’s death following entitlement to Severance Benefits, his or her Beneficiary), an amount equal to three times for Tier 1 Participants and two times for Tier 2 Participants, the sum of the Participant’s: (i) Required Base Salary; and (ii) Annual Bonus. In addition, Participant shall receive an amount equal to the product of the Participant’s: (x) Annual Bonus; and (ii) a fraction, the numerator of which is the number of days in the fiscal year through the Date of Termination and the denominator of which is 365, if such termination occurs in a fiscal year other than the fiscal year of the Change in Control. All such payments shall be made in a lump sum in cash within 10 days after the Date of Termination, but in no event later than the following March 15. Regardless of termination, a Participant shall receive an amount equal to the Participant’s Annual Bonus within 10 days after the Change in Control Date.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Payment shall be made in a lump sum in cash.</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7"/>
          <w:szCs w:val="17"/>
          <w:u w:val="single" w:color="auto"/>
          <w:color w:val="auto"/>
        </w:rPr>
        <w:t>Welfare Benefits; Retirement Plans; Perquisites</w:t>
      </w:r>
      <w:r>
        <w:rPr>
          <w:rFonts w:ascii="Arial" w:cs="Arial" w:eastAsia="Arial" w:hAnsi="Arial"/>
          <w:sz w:val="17"/>
          <w:szCs w:val="17"/>
          <w:color w:val="auto"/>
        </w:rPr>
        <w:t>. In addition, a Participant entitled to Severance Benefits pursuant to Section 6.1(a) will continue to be provided with health insurance, life insurance, long-term care insurance and long-term disability benefits comparable to the benefits provided to the Participant immediately prior to the Date of Termination, or if more favorable to the Participant, the Change in Control, for the duration of the Severance Period, with no increase in the Employee’s contribution rate on the Date of Termination (without giving effect to any rate increase after the Change in Control which constitutes or may constitute Good Reason); provided that if the Participant is precluded from continuing his or her participation in any applicable plan, program, or arrangement, the Participant shall be provided with the after-tax cost of continuation of such coverage, including premiums under the Consolidated Omnibus Budget Reconciliation Act of 1985, as amended, (“COBRA Premiums”), for the Participant with respect to the benefits provided under such plan, program, or arrangement, paid as a lump sum payment within 10 days after Termination, but in no event later than the following March 15. Any benefits so provided shall not be considered a continuation of coverage as provided under the Consolidated Omnibus Budget Reconciliation Act of 1985, as amended. A Participant entitled to Severance Benefits pursuant to Section 6.1(a) shall also receive a lump sum payment in cash within 10 days after the Change in Control but in no event later than the following March 15, equal to the Employer contributions that would have been made on the Participant’s behalf pursuant to the Company’s qualified and non-qualified defined contribution retirement plans, assuming continued participation on the same basis as immediately prior to the Date of Termination, or if more favorable to the Participant, the Change in Control, which the Participant would have received if the Participant’s employment had continued during the Severance Period, assuming that the Participant’s compensation for each year during such period is as in effect immediately prior to the Date of Termination, or if more favorable to the Participant, the Change in Control, and that the Employer contributions are determined pursuant to the applicable plans as in effect immediately prior to the Date of Termination, or if more favorable to the Participant, the Change in Control. A Participant entitled to Severance Benefits pursuant to Section 6.1(a) will continue to be provided with a cash payment equal to the value to the Participant of perquisites comparable to those provided to the Participant immediately prior to the Date of Termination, or if more favorable to the Participant, the Change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283" w:right="979" w:bottom="1440" w:gutter="0" w:footer="0" w:header="0"/>
        </w:sectPr>
      </w:pPr>
    </w:p>
    <w:bookmarkStart w:id="103" w:name="page104"/>
    <w:bookmarkEnd w:id="103"/>
    <w:p>
      <w:pPr>
        <w:jc w:val="both"/>
        <w:ind w:right="20"/>
        <w:spacing w:after="0" w:line="226" w:lineRule="auto"/>
        <w:rPr>
          <w:sz w:val="20"/>
          <w:szCs w:val="20"/>
          <w:color w:val="auto"/>
        </w:rPr>
      </w:pPr>
      <w:r>
        <w:rPr>
          <w:rFonts w:ascii="Arial" w:cs="Arial" w:eastAsia="Arial" w:hAnsi="Arial"/>
          <w:sz w:val="17"/>
          <w:szCs w:val="17"/>
          <w:color w:val="auto"/>
        </w:rPr>
        <w:t>Control, for the duration of the Severance Period. Such cash payment shall be paid in a lump sum within 10 days of Termination, but in no event later than the following March 15. If the Participant becomes reemployed with another employer and is eligible to receive health insurance, life insurance, long-term care insurance or long-term disability coverage under another employer-provided plan (regardless of whether the Participant elects such coverage), the health insurance, life insurance, and long-term disability benefits provided pursuant to this section shall be secondary to those provided under such other plan during the applicable period of eligibility. Long-term care insurance vests by its terms upon a Change in Control.</w:t>
      </w:r>
    </w:p>
    <w:p>
      <w:pPr>
        <w:spacing w:after="0" w:line="165"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u w:val="single" w:color="auto"/>
          <w:color w:val="auto"/>
        </w:rPr>
        <w:t>Equity Vesting</w:t>
      </w:r>
      <w:r>
        <w:rPr>
          <w:rFonts w:ascii="Arial" w:cs="Arial" w:eastAsia="Arial" w:hAnsi="Arial"/>
          <w:sz w:val="16"/>
          <w:szCs w:val="16"/>
          <w:color w:val="auto"/>
        </w:rPr>
        <w:t>. In the event of a Change in Control (whether or not a Participant’s employment terminates): (i) any unvested portions of stock awards or options granted under the Company’s equity-based plans shall become fully vested upon the Change in Control; and (ii) any shares then unallocated under the Company’s equity-based plans shall then be allocated and distributed to such plan’s participants by the Compensation/Incentive Committee of the Company’s Board of Directors upon the Change in Control.</w:t>
      </w:r>
    </w:p>
    <w:p>
      <w:pPr>
        <w:spacing w:after="0" w:line="154"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u w:val="single" w:color="auto"/>
          <w:color w:val="auto"/>
        </w:rPr>
        <w:t>Outplacement</w:t>
      </w:r>
      <w:r>
        <w:rPr>
          <w:rFonts w:ascii="Arial" w:cs="Arial" w:eastAsia="Arial" w:hAnsi="Arial"/>
          <w:sz w:val="17"/>
          <w:szCs w:val="17"/>
          <w:color w:val="auto"/>
        </w:rPr>
        <w:t>. A Participant entitled to Severance Benefits under Section 6.1(a) shall be entitled to receive outplacement assistance at an agency of his or her choice, in an amount not to exceed $25,000.00. Such outplacement services must be used no later than December 31 of the second year following the year in which the Date of Termination occurred.</w:t>
      </w:r>
    </w:p>
    <w:p>
      <w:pPr>
        <w:spacing w:after="0" w:line="163"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u w:val="single" w:color="auto"/>
          <w:color w:val="auto"/>
        </w:rPr>
        <w:t>Certain Additional Payments by the Company to Grandfathered Participants</w:t>
      </w:r>
      <w:r>
        <w:rPr>
          <w:rFonts w:ascii="Arial" w:cs="Arial" w:eastAsia="Arial" w:hAnsi="Arial"/>
          <w:sz w:val="18"/>
          <w:szCs w:val="18"/>
          <w:color w:val="auto"/>
        </w:rPr>
        <w:t>. This Section 6.3 shall apply only to those individuals who were Participants in the Plan on the Amendment Date and not to anyone designated as a Participant following the Amendment Date, other than with respect to defined terms that are used in Section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-247015</wp:posOffset>
            </wp:positionV>
            <wp:extent cx="45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In the event that any payment or benefit to the Participant or for the Participant’s benefit paid or payable or distributed or distributable pursuant to the terms of this Plan or otherwise in connection with, or arising out of, the Participant’s employment with an Employer or a change in ownership or effective control of the Company or of a substantial portion of its assets (a “Payment”), would be subject to the excise tax imposed by Section 4999 of the Code or any tax imposed by Section 409A of the Code, or any interest or penalties are incurred by the Participant with respect to such tax (such tax, together with any such interest and penalties, are hereinafter collectively referred to herein as the “Excise Tax”), then the Participant will be entitled to receive an additional payment (a “Gross-Up Payment”) in an amount such that after payment by the Participant of all taxes (including any income, payroll, interest or penalties imposed with respect to such taxes and the Excise Tax, other than interest and penalties imposed by reason of the Participant’s failure to file timely a tax return or pay taxes shown due on the Participant’s return, and including any Excise Tax imposed upon the Gross-Up Payment), the Participant retains an amount of the Gross-Up Payment equal to the Excise Tax imposed upon the Payments.</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An initial determination as to whether a Gross-Up Payment is required pursuant to this Plan and the amount of such Gross-Up Payment will be made at the Company’s expense by an accounting firm of recognized national standing selected by the Company (the “Accounting Firm”). The Accounting Firm will provide its determination (the “Determination”), together with detailed supporting calculations and documentation, to the Company and the Participant within five days prior to a Change in Control, or such other time as requested by the Company or by the Participant (provided the Participant reasonably believes that any of the Payments may be subject to the Excise Tax). If the Accounting Firm determines that no Excise Tax is payable by the Participant with respect to a Payment or Payments, it will furnish the Participant with an opinion reasonably acceptable to the Participant that no Excise Tax will be imposed with respect to any such Payment or Payments. Within 10 days of the delivery of the Determination to the Participant, the Participant will have the right to dispute the Determination (the “Dispute”). The Gross-Up Payment, if any, as determined pursuant to this Section 6.3(b) will be paid by the Company to the Participant within 5 days of the receipt of the Determination. The existence of the Dispute will not in any way affect the Participant’s right to receive the Gross-Up Payment in accordance with the Determination. If there is no Dispute, the Determination will be binding, final and conclusive upon the Company and the Participant, subject to the application of Section 6.3(c).</w:t>
      </w:r>
    </w:p>
    <w:p>
      <w:pPr>
        <w:spacing w:after="0" w:line="16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As a result of uncertainty in the application of Sections 280G, 409A, and 4999 of the Code, it is possible that a Gross-Up Payment (or a portion thereof) will be paid which should not be paid (an “Excess Payment”) or that a Gross-Up Payment (or a portion thereof) which should be paid will not be paid (an “Underpayment”). An Underpayment will be deemed to have occurred (i) upon notice (formal or informal) to the Participant from any governmental taxing authority that the Participant’s tax liability (whether in respect of the Participant’s current taxable year or in respect of any prior taxable year) may be increased by reason of the imposition of the Excise Tax on a Payment or Payments with respect to which the Company has failed to make a sufficient Gross-Up Payment, (ii) upon a determination by a court, (iii) by reason of a determination by the Company (which will include the position taken by the Company on its federal income tax return) or (iv) upon the resolution of the Dispute to the Participant’s satisfaction. If an Underpayment occurs, the Participant will promptly notify the Company and the Company will promptly, but in any event at least 5 days prior to the date on which the applicable government taxing authority has requested payment, pay to the Participant an additional Gross -Up Payment equal to the amount of the Underpayment plus any interest and penalties (other than interest and penalties imposed by reason of the Participant’s failure to file timely a tax return or pay taxes shown due on the Participant’s return) imposed on the Underpayment. An Excess Payment will be deemed to have occurred upon a Final Determination (as hereinafter defined) that the Excise Tax will not be imposed upon a Payment or Payments (or portion thereof) with respect to which the Participant had previously received a Gross-Up Payment. A “Final Determination” will be deemed to have occurred when the Participant has received from the applicable government taxing authority a refund of taxes or other reduction in the Participant’s tax liability by reason of the Excise Payment and upon either (x) the date a determination is made by, or an agreement is entered into with, the applicable governmental taxing authority which finally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4" w:name="page105"/>
    <w:bookmarkEnd w:id="104"/>
    <w:p>
      <w:pPr>
        <w:jc w:val="both"/>
        <w:ind w:right="20"/>
        <w:spacing w:after="0" w:line="222" w:lineRule="auto"/>
        <w:rPr>
          <w:sz w:val="20"/>
          <w:szCs w:val="20"/>
          <w:color w:val="auto"/>
        </w:rPr>
      </w:pPr>
      <w:r>
        <w:rPr>
          <w:rFonts w:ascii="Arial" w:cs="Arial" w:eastAsia="Arial" w:hAnsi="Arial"/>
          <w:sz w:val="17"/>
          <w:szCs w:val="17"/>
          <w:color w:val="auto"/>
        </w:rPr>
        <w:t>conclusively binds the Participant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the Participant’s applicable tax return has expired. If an Excess Payment is determined to have been made, the Participant will pay to the Company (but not less than 10 days after the determination of such Excess Payment and written notice has been delivered to the Participant) the amount of the Excess Payment plus interest at an annual rate equal to the Applicable Federal Rate provided for in Section 1274(d) of the Code from the date the Gross-Up Payment (to which the Excess Payment relates) was paid to the Participant until the date of repayment to the Company. The Participant will use reasonable cooperative efforts at the request of the Company to assist in the determination of the amount of any Excess Payment or Underpayment made to the Participant pursuant to this Plan.</w:t>
      </w:r>
    </w:p>
    <w:p>
      <w:pPr>
        <w:spacing w:after="0" w:line="16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All Payments are intended by Company and Participant to meet the requirements of Section 409A of the Code. Consistent with the foregoing, all Gross-Up Payments payable pursuant to this Section 6.3 and any other amounts payable to any Participant pursuant to this Plan in respect of taxes shall be paid to the Participant as soon as practicable after the amount of the relevant tax has been determined and, in any event, no later than December 31 of the year immediately following the year in which the Participant remits the relevant taxes.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u w:val="single" w:color="auto"/>
          <w:color w:val="auto"/>
        </w:rPr>
        <w:t>Certain Terms Applicable to Non-Grandfathered Participants</w:t>
      </w:r>
      <w:r>
        <w:rPr>
          <w:rFonts w:ascii="Arial" w:cs="Arial" w:eastAsia="Arial" w:hAnsi="Arial"/>
          <w:sz w:val="17"/>
          <w:szCs w:val="17"/>
          <w:color w:val="auto"/>
        </w:rPr>
        <w:t>. This Section 6.4 shall apply only to those individuals who are designated as a Participant following the Amendment Date and not to anyone who was a Participant on the Amendment Date.</w:t>
      </w:r>
    </w:p>
    <w:p>
      <w:pPr>
        <w:spacing w:after="0" w:line="147"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17"/>
          <w:szCs w:val="17"/>
          <w:color w:val="auto"/>
        </w:rPr>
        <w:t>In the event it is determined by the Accounting Firm that part or all of any Payment to a Participant is subject to the Excise Tax, the amounts constituting “parachute payments” (within the meaning of Section 280G of the Code) which would otherwise be payable to the Participant or for the Participant’s benefit shall be reduced to the maximum amount that would not be subject to the Excise Tax (the “Reduced Amount”); provided that such amounts shall not be so reduced if the Accounting Firm determines that without such reduction, the Participant would be entitled to receive and retain, on a net after-tax basis (including, without limitation, any Excise Tax), an amount which is greater than the amount, on a net after-tax basis, that the Participant would be entitled to retain upon receipt of the Reduced Amount. In connection with making determinations under this Section 6.3(a), the Accounting Firm shall take into account any positions to mitigate any Excise Tax, such as the value of any reasonable compensation for services to be rendered by the Participant before or after the Change in Control.</w:t>
      </w:r>
    </w:p>
    <w:p>
      <w:pPr>
        <w:spacing w:after="0" w:line="16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An initial determination by the Accounting Firm as to whether an Excise Tax would otherwise be payable and whether a Reduced Amount is applicable is required pursuant to this Plan. The Accounting Firm will provide its Determination, together with detailed supporting calculations and documentation, to the Company and the Participant within five days prior to the Change in Control, or such other time as requested by the Company or by the Participant (provided the Company or the Participant reasonably believes that any of the Payments may be subject to the Excise Tax). Within 10 days of the delivery of any Determination to the Participant, the Participant will have the right to Dispute. If there is no Dispute, the Determination will be binding, final and conclusive upon the Company and the Participant, subject to the application of Section 6.4(d).</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If the Determination results in a reduction of the Payments that would otherwise be paid to the Participant, such reduction shall be first applied to reduce any cash Payments that the Participant would otherwise be entitled to receive (whether pursuant to this Plan or otherwise) and shall thereafter be applied to reduce other Payments (including benefits), in each case, in reverse order beginning with the Payments that are to be paid the furthest in time from the date of such Determination, unless, to the extent permitted by Section 409A of the Code, the Participant elects to have the reduction in Payments applied in a different order; provided that, in no event may such Payments be reduced in a manner that would result in subjecting the Participant to additional taxation under Section 409A of the Code. Within ten business days following such Determination (or, if applicable, within ten business days following resolution of any Dispute pursuant to Section 6.4(b)), the Company shall pay or distribute to the Participant or for the Participant's benefit such amounts as are then due to the Participant under this Plan or otherwise and shall promptly pay or distribute to the Participant or for the Participant's benefit in the future such amounts as become due to the Participant under this Plan or otherwise.</w:t>
      </w:r>
    </w:p>
    <w:p>
      <w:pPr>
        <w:spacing w:after="0" w:line="16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As a result of the uncertainty in the application of Sections 280G and 4999 of the Code at the time of a Determination, it is possible that an Excess Payment or Underpayment may occur, in each case, consistent with the calculation of the Reduced Amount (if applicable) hereunder. In the event that the Accounting Firm, based upon the assertion of a deficiency by the Internal Revenue Service against either the Company or the Participant which the Accounting Firm believes has a high probability of success, determines that an Excess Payment has been made, any such Excess Payment paid or distributed by the Company to or for the Participant’s benefit shall be repaid by the Participant to the Company together with interest at the applicable federal rate provided for in Section 1274(d) of the Code; provided, however, that no such repayment shall be required if and to the extent such deemed repayment would not either reduce the amount on which the Participant is subject to tax under Sections 1 and 4999 of the Code or generate a refund of such taxes. In the event that the Accounting Firm, based on controlling precedent or substantial authority, determines that an Underpayment has occurred, any such Underpayment shall be promptly paid by the Company to or for the Participant's benefit together with interest at the applicable federal rate provided for in Section 1274(d) of the Code. The Participant will use reasonable cooperative efforts at the request of the Company to assist in the determination of the amount of any Excess Payment or Underpayment made to the Participant pursuant to this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5" w:name="page106"/>
    <w:bookmarkEnd w:id="105"/>
    <w:p>
      <w:pPr>
        <w:jc w:val="both"/>
        <w:ind w:right="20" w:firstLine="648"/>
        <w:spacing w:after="0" w:line="219" w:lineRule="auto"/>
        <w:rPr>
          <w:sz w:val="20"/>
          <w:szCs w:val="20"/>
          <w:color w:val="auto"/>
        </w:rPr>
      </w:pPr>
      <w:r>
        <w:rPr>
          <w:rFonts w:ascii="Arial" w:cs="Arial" w:eastAsia="Arial" w:hAnsi="Arial"/>
          <w:sz w:val="18"/>
          <w:szCs w:val="18"/>
          <w:u w:val="single" w:color="auto"/>
          <w:color w:val="auto"/>
        </w:rPr>
        <w:t>Other Benefits Payable</w:t>
      </w:r>
      <w:r>
        <w:rPr>
          <w:rFonts w:ascii="Arial" w:cs="Arial" w:eastAsia="Arial" w:hAnsi="Arial"/>
          <w:sz w:val="18"/>
          <w:szCs w:val="18"/>
          <w:color w:val="auto"/>
        </w:rPr>
        <w:t>. The Severance Benefits provided pursuant to Section 6.2 above shall be provided in addition to, and not in lieu of, all other accrued or vested or earned but deferred compensation, rights, stock options, or other benefits which may be owed to a Participant by an Employer, with the exception of payments to be made under (a) the Chemed Corporation Senior Executive Severance Policy and (b) employment agreements for Tier 1 Participants.</w:t>
      </w:r>
    </w:p>
    <w:p>
      <w:pPr>
        <w:spacing w:after="0" w:line="1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u w:val="single" w:color="auto"/>
          <w:color w:val="auto"/>
        </w:rPr>
        <w:t>Payment Obligations Absolute</w:t>
      </w:r>
      <w:r>
        <w:rPr>
          <w:rFonts w:ascii="Arial" w:cs="Arial" w:eastAsia="Arial" w:hAnsi="Arial"/>
          <w:sz w:val="16"/>
          <w:szCs w:val="16"/>
          <w:color w:val="auto"/>
        </w:rPr>
        <w:t>. The obligations of the Company to pay the Severance Benefits described in Section 6.2 shall be absolute and unconditional and shall not be affected by any circumstances, including, without limitation, any set-off, counterclaim, recoupment, defense, or other right which the Company or any Affiliate may have against any Participant. In no event shall a Participant be obligated to seek other employment or take any other action by way of mitigation of the amounts payable to a Participant under any of the provisions of this Plan, nor shall the amount of any payment hereunder be reduced by any compensation earned by a Participant as a result of employment by another employer, except with respect to the welfare benefits as provided under Section 6.2(c).</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SUCCESSOR TO COMPANY</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This Plan shall bind any successor of the Company, its assets, or its businesses (whether direct or indirect, by purchase, merger, consolidation, or otherwise),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Company’s obligations under this Plan, in the same manner and to the same extent that the Company would be required to perform if no such succession had taken place. The term “Company,” as used in this Plan, shall mean the Company as hereinbefore defined and any successor or assignee to the business or assets which by reason hereof becomes bound by this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AND TERMINATION</w:t>
      </w:r>
    </w:p>
    <w:p>
      <w:pPr>
        <w:spacing w:after="0" w:line="18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Plan may be terminated or amended in any respect by resolution adopted by a majority of the Administrative Committee, unless a Change in Control has previously occurred. However, after the Administrative Committee has knowledge of a transaction or event that, if consummated, would constitute a Change in Control, this Plan may not be terminated or amended in any manner which would adversely affect the rights or potential rights of Participants, unless and until the Administrative Committee has determined that such potential Change in Control has been abandoned and will not be consummated, and the Administrative Committee does not have knowledge of another transaction or event that, if consummated, would constitute a Change in Control. If a Change in Control occurs, the Plan shall no longer be subject to amendment or termination in any respect which adversely affects the rights of Participants.</w:t>
      </w:r>
    </w:p>
    <w:p>
      <w:pPr>
        <w:spacing w:after="0" w:line="16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u w:val="single" w:color="auto"/>
          <w:color w:val="auto"/>
        </w:rPr>
        <w:t>Form of Amendment</w:t>
      </w:r>
      <w:r>
        <w:rPr>
          <w:rFonts w:ascii="Arial" w:cs="Arial" w:eastAsia="Arial" w:hAnsi="Arial"/>
          <w:sz w:val="18"/>
          <w:szCs w:val="18"/>
          <w:color w:val="auto"/>
        </w:rPr>
        <w:t>. The form of any amendment or termination of the Plan shall be a written instrument signed by a duly authorized officer or officers of the Company, certifying that the amendment or termination has been approved by the Administrative Committee. An amendment of the Plan in accordance with the terms hereof shall automatically effect a corresponding amendment to all Participants’ rights hereunder. A termination of the Plan, subject to the terms hereof, shall automatically effect a termination of all Participants’ rights and benefits hereunder.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u w:val="single" w:color="auto"/>
          <w:color w:val="auto"/>
        </w:rPr>
        <w:t>Legal Fees and Expenses, Arbitration</w:t>
      </w:r>
      <w:r>
        <w:rPr>
          <w:rFonts w:ascii="Arial" w:cs="Arial" w:eastAsia="Arial" w:hAnsi="Arial"/>
          <w:sz w:val="17"/>
          <w:szCs w:val="17"/>
          <w:color w:val="auto"/>
        </w:rPr>
        <w:t>. Each party shall pay their own legal fees incurred in connection with any enforcement of rights under this Plan. Disputes arising under this Plan shall be subject to arbitration according to the rules of the American Arbitration Association. The Company and Participant shall share equally any third party costs of such arbitration.</w:t>
      </w:r>
    </w:p>
    <w:p>
      <w:pPr>
        <w:spacing w:after="0" w:line="163"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u w:val="single" w:color="auto"/>
          <w:color w:val="auto"/>
        </w:rPr>
        <w:t>Employment Status</w:t>
      </w:r>
      <w:r>
        <w:rPr>
          <w:rFonts w:ascii="Arial" w:cs="Arial" w:eastAsia="Arial" w:hAnsi="Arial"/>
          <w:sz w:val="18"/>
          <w:szCs w:val="18"/>
          <w:color w:val="auto"/>
        </w:rPr>
        <w:t>. This Plan does not constitute a contract of employment or impose on a Participant’s Employer any obligation to retain the Participant as an Employee, to change the status of the Participant’s employment, or to change the Company’s policies or those of its Affiliates regarding termination of employment.</w:t>
      </w:r>
    </w:p>
    <w:p>
      <w:pPr>
        <w:spacing w:after="0" w:line="163"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u w:val="single" w:color="auto"/>
          <w:color w:val="auto"/>
        </w:rPr>
        <w:t>Validity and Severability</w:t>
      </w:r>
      <w:r>
        <w:rPr>
          <w:rFonts w:ascii="Arial" w:cs="Arial" w:eastAsia="Arial" w:hAnsi="Arial"/>
          <w:sz w:val="18"/>
          <w:szCs w:val="18"/>
          <w:color w:val="auto"/>
        </w:rPr>
        <w:t>.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163"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Company’s or a Participant’s failure to insist upon strict compliance with any provision of this Plan or the failure to assert any right the Company or a Participant may have hereunder shall not be deemed to be a waiver of such provision or right or any other provision or right of this Plan.</w:t>
      </w:r>
    </w:p>
    <w:p>
      <w:pPr>
        <w:spacing w:after="0" w:line="16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the Plan shall in all respects be governed by the laws of the State of Ohio, without reference to its principles of conflict of law.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6" w:name="page107"/>
    <w:bookmarkEnd w:id="106"/>
    <w:p>
      <w:pPr>
        <w:jc w:val="both"/>
        <w:ind w:firstLine="648"/>
        <w:spacing w:after="0" w:line="219" w:lineRule="auto"/>
        <w:rPr>
          <w:sz w:val="20"/>
          <w:szCs w:val="20"/>
          <w:color w:val="auto"/>
        </w:rPr>
      </w:pPr>
      <w:r>
        <w:rPr>
          <w:rFonts w:ascii="Arial" w:cs="Arial" w:eastAsia="Arial" w:hAnsi="Arial"/>
          <w:sz w:val="17"/>
          <w:szCs w:val="17"/>
          <w:u w:val="single" w:color="auto"/>
          <w:color w:val="auto"/>
        </w:rPr>
        <w:t>Claims Procedure</w:t>
      </w:r>
      <w:r>
        <w:rPr>
          <w:rFonts w:ascii="Arial" w:cs="Arial" w:eastAsia="Arial" w:hAnsi="Arial"/>
          <w:sz w:val="17"/>
          <w:szCs w:val="17"/>
          <w:color w:val="auto"/>
        </w:rPr>
        <w:t>. If an Employee or former Employee makes a written request alleging a right to receive benefits under the Plan or alleging a right to receive an adjustment in benefits being paid under the Plan, the Company shall treat it as a claim for benefits. All claims for Severance Benefits under the Plan shall be sent to the Legal Department of the Company and must be received within 30 days after the Date of Termination. If the Company determines that any individual who has claimed a right to receive Severance Benefits under the Plan is not entitled to receive all or any part of the benefits claimed, it will inform the claimant in writing of its determination and the reasons therefor in terms calculated to be understood by the claimant. The notice will be sent within 30 days of the written request, unless the Company determines additional time, not exceeding 45 days, is needed. The notice shall make specific reference to the pertinent Plan provisions on which the denial is based, and describe any additional material or information that is necessary. Such notice shall, in addition, inform the claimant what procedure the claimant should follow to take advantage of the review procedures set forth below in the event the claimant desires to contest the denial of the claim. The claimant may, within 90 days thereafter, submit in writing to the Company a notice that the claimant contests the denial of his or her claim by the Company and desires a further review. The Company shall, within 30 days thereafter, review the claim and authorize the claimant to appear personally and review pertinent documents and submit issues and comments relating to the claim to the persons responsible for making the determination on behalf of the Company. The Company will render its final decision with specific reasons therefor in writing and will transmit it to the claimant within 30 days of the written request for review, unless the Company determines additional time, not exceeding 45 days, is needed, and so notifies the Participant. If the Company fails to respond to a claim filed in accordance with the foregoing within 30 days or any such extended period, the Company shall be deemed to have denied the claim.</w:t>
      </w:r>
    </w:p>
    <w:p>
      <w:pPr>
        <w:spacing w:after="0" w:line="16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u w:val="single" w:color="auto"/>
          <w:color w:val="auto"/>
        </w:rPr>
        <w:t>Indemnification of Administrative Committee</w:t>
      </w:r>
      <w:r>
        <w:rPr>
          <w:rFonts w:ascii="Arial" w:cs="Arial" w:eastAsia="Arial" w:hAnsi="Arial"/>
          <w:sz w:val="16"/>
          <w:szCs w:val="16"/>
          <w:color w:val="auto"/>
        </w:rPr>
        <w:t>. No member or agent of the Administrative Committee shall be personally liable for any action, determination, or interpretation made with respect to the Plan, and each member of the Administrative Committee shall be indemnified by the Company to the fullest extent permitted by applicable law and the governing instruments of the Company.</w:t>
      </w:r>
    </w:p>
    <w:p>
      <w:pPr>
        <w:spacing w:after="0" w:line="14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u w:val="single" w:color="auto"/>
          <w:color w:val="auto"/>
        </w:rPr>
        <w:t>Unfunded Plan Status</w:t>
      </w:r>
      <w:r>
        <w:rPr>
          <w:rFonts w:ascii="Arial" w:cs="Arial" w:eastAsia="Arial" w:hAnsi="Arial"/>
          <w:sz w:val="18"/>
          <w:szCs w:val="18"/>
          <w:color w:val="auto"/>
        </w:rPr>
        <w:t>. This Plan is intended to be an unfunded plan.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 Notwithstanding the foregoing, the Company may (but shall not be obligated to) create one or more grantor trusts, the assets of which are subject to the claims of the Company’s creditors, to assist it in accumulating funds to pay its obligations under the Plan.</w:t>
      </w:r>
    </w:p>
    <w:p>
      <w:pPr>
        <w:spacing w:after="0" w:line="16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Any payment provided for hereunder shall be paid net of any applicable tax withholding required under federal, state, local, or foreign law.</w:t>
      </w:r>
    </w:p>
    <w:p>
      <w:pPr>
        <w:spacing w:after="0" w:line="16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u w:val="single" w:color="auto"/>
          <w:color w:val="auto"/>
        </w:rPr>
        <w:t>Nonalienation of Benefits</w:t>
      </w:r>
      <w:r>
        <w:rPr>
          <w:rFonts w:ascii="Arial" w:cs="Arial" w:eastAsia="Arial" w:hAnsi="Arial"/>
          <w:sz w:val="17"/>
          <w:szCs w:val="17"/>
          <w:color w:val="auto"/>
        </w:rPr>
        <w:t>. Except as otherwise specifically provided herein, amounts payable under the Plan shall not be subject to any manner of anticipation, alienation, sale, transfer, assignment, pledge, encumbrance, charge, garnishment, execution, or levy of any kind, either voluntary or involuntary, including any liability which is for alimony or other payments for the support of a spouse or former spouse, or for any other relative of a Participant, prior to actually being received by the person entitled to payment under the terms of the Plan. Any attempt to anticipate, alienate, sell, transfer, assign, pledge, encumber, charge, garnish, execute, or levy upon, otherwise dispose of any right to amounts payable hereunder, shall be null and void.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If a Participant is declared an incompetent, and a conservator, guardian, or other person legally charged with his or her care has been appointed, any Severance Benefits to which such Participant is entitled may be paid to such conservator, guardian, or other person legally charged with his or her care;</w:t>
      </w:r>
    </w:p>
    <w:p>
      <w:pPr>
        <w:spacing w:after="0" w:line="16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a Participant is declared an incompetent and a conservator, guardian, or other person charged with his or her care has not been appointed, the Administrative Committee may: (i) require the appointment of a conservator or guardian; (ii) distribute any Severance Benefits to which such Participant is entitled to his or her spouse, with respect to a Participant who is married, or to such other relative of an unmarried Participant for the benefit of such Participant; or (iii) distribute any Severance Benefits to which such Participant is entitled directly to or for the benefit of such Participant.</w:t>
      </w:r>
    </w:p>
    <w:p>
      <w:pPr>
        <w:spacing w:after="0" w:line="16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the context indicates to the contrary, when used herein masculine terms shall be deemed to include the feminine, and the plural shall be deemed to include the singular.</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are not to be used in the interpretation of the provisions of the Plan.</w:t>
      </w:r>
    </w:p>
    <w:p>
      <w:pPr>
        <w:spacing w:after="0" w:line="16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u w:val="single" w:color="auto"/>
          <w:color w:val="auto"/>
        </w:rPr>
        <w:t>Equity-Based Plans</w:t>
      </w:r>
      <w:r>
        <w:rPr>
          <w:rFonts w:ascii="Arial" w:cs="Arial" w:eastAsia="Arial" w:hAnsi="Arial"/>
          <w:sz w:val="18"/>
          <w:szCs w:val="18"/>
          <w:color w:val="auto"/>
        </w:rPr>
        <w:t>. No provision hereunder is intended to restrict acceleration of any interests granted under equity-based plans of the Company, in accordance with the terms of said plans.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7" w:name="page108"/>
    <w:bookmarkEnd w:id="107"/>
    <w:p>
      <w:pPr>
        <w:ind w:left="640"/>
        <w:spacing w:after="0"/>
        <w:rPr>
          <w:sz w:val="20"/>
          <w:szCs w:val="20"/>
          <w:color w:val="auto"/>
        </w:rPr>
      </w:pPr>
      <w:r>
        <w:rPr>
          <w:rFonts w:ascii="Arial" w:cs="Arial" w:eastAsia="Arial" w:hAnsi="Arial"/>
          <w:sz w:val="18"/>
          <w:szCs w:val="18"/>
          <w:u w:val="single" w:color="auto"/>
          <w:color w:val="auto"/>
        </w:rPr>
        <w:t>Section 409A Matters</w:t>
      </w:r>
      <w:r>
        <w:rPr>
          <w:rFonts w:ascii="Arial" w:cs="Arial" w:eastAsia="Arial" w:hAnsi="Arial"/>
          <w:sz w:val="18"/>
          <w:szCs w:val="18"/>
          <w:color w:val="auto"/>
        </w:rPr>
        <w:t>.</w:t>
      </w:r>
    </w:p>
    <w:p>
      <w:pPr>
        <w:spacing w:after="0" w:line="185"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6"/>
          <w:szCs w:val="16"/>
          <w:color w:val="auto"/>
        </w:rPr>
        <w:t>The payments and benefits under this Plan are intended to be exempt from, or comply with, Section 409A of the Code, and to the maximum extent permitted this Plan shall be limited, construed and interpreted in accordance with such intent. Except as specifically set forth in Section 6.3 in respect of individuals who were Participants as of the Amendment Date, in no event whatsoever shall the Company or its Affiliates or their respective officers, directors, employees or agents be liable for any additional tax, interest or penalties that may be imposed on a Participant or damages for failing to comply with Section 409A of the Code under this Plan.</w:t>
      </w:r>
    </w:p>
    <w:p>
      <w:pPr>
        <w:spacing w:after="0" w:line="15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Notwithstanding any other provision of this Plan to the contrary, to the extent that any reimbursement of expenses constitutes nonqualified deferred compensation subject to Section 409A of the Code, such reimbursement shall be provided no later than December 31 of the year following the year in which the expense was incurred (or, where applicable, no later than such earlier time required by this Plan). To the extent required by Section 409A of the Code, (i) the amount of expenses reimbursed in one year shall not affect the amount eligible for reimbursement in any subsequent year, (ii) the amount of any in-kind benefits provided in one year shall not affect the amount of in-kind benefits provided in any other year and (iii) any right to such reimbursement or in-kind benefits is not subject to liquidation or exchange for another benefit.</w:t>
      </w:r>
    </w:p>
    <w:p>
      <w:pPr>
        <w:spacing w:after="0" w:line="165"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color w:val="auto"/>
        </w:rPr>
        <w:t>For purposes of Section 409A of the Code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w:t>
      </w:r>
    </w:p>
    <w:p>
      <w:pPr>
        <w:spacing w:after="0" w:line="163"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Notwithstanding any other provision of this Plan to the contrary, if, at the time of a Participant's separation from service (as defined in Section 409A of the Code), the Participant is a “Specified Employee”, then the Company will defer the payment or commencement of any nonqualified deferred compensation subject to Section 409A of the Code payable upon separation from service (without any reduction in such payments or benefits ultimately paid or provided to the Participant) until the date that is six months following separation from service or, if earlier, the earliest other date as is permitted under Section 409A of the Code (and any amounts that otherwise would have been paid during this deferral period will be paid in a lump sum on the day after the expiration of the six-month period or such shorter period, if applicable).</w:t>
      </w:r>
    </w:p>
    <w:p>
      <w:pPr>
        <w:spacing w:after="0" w:line="16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Notwithstanding anything in this Plan or elsewhere to the contrary, a termination of employment shall not be deemed to have occurred for purposes of any provision of this Plan providing for the payment of any amounts or benefits that constitute nonqualified deferred compensation subject to Section 409A of the Code upon or following a termination of the Participant's employment unless such termination is also a “separation from service” within the meaning of Section 409A of the Code and, for purposes of any such provision of this Plan, references to a “termination,” “termination of employment” or like terms shall mean “separation from service” and the date of such separation from service shall be the date of termination for purposes of any such payment or benefits.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4560" w:type="dxa"/>
            <w:vAlign w:val="bottom"/>
          </w:tcPr>
          <w:p>
            <w:pPr>
              <w:jc w:val="center"/>
              <w:ind w:left="750"/>
              <w:spacing w:after="0"/>
              <w:rPr>
                <w:sz w:val="20"/>
                <w:szCs w:val="20"/>
                <w:color w:val="auto"/>
              </w:rPr>
            </w:pPr>
            <w:r>
              <w:rPr>
                <w:rFonts w:ascii="Arial" w:cs="Arial" w:eastAsia="Arial" w:hAnsi="Arial"/>
                <w:sz w:val="18"/>
                <w:szCs w:val="18"/>
                <w:color w:val="auto"/>
                <w:w w:val="95"/>
              </w:rPr>
              <w:t>Appendix A</w:t>
            </w: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4560" w:type="dxa"/>
            <w:vAlign w:val="bottom"/>
          </w:tcPr>
          <w:p>
            <w:pPr>
              <w:jc w:val="center"/>
              <w:ind w:left="750"/>
              <w:spacing w:after="0"/>
              <w:rPr>
                <w:sz w:val="20"/>
                <w:szCs w:val="20"/>
                <w:color w:val="auto"/>
              </w:rPr>
            </w:pPr>
            <w:r>
              <w:rPr>
                <w:rFonts w:ascii="Arial" w:cs="Arial" w:eastAsia="Arial" w:hAnsi="Arial"/>
                <w:sz w:val="18"/>
                <w:szCs w:val="18"/>
                <w:color w:val="auto"/>
                <w:w w:val="90"/>
              </w:rPr>
              <w:t>Chemed Corporation</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56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Change in Control Severance Plan</w:t>
            </w:r>
          </w:p>
        </w:tc>
        <w:tc>
          <w:tcPr>
            <w:tcW w:w="0" w:type="dxa"/>
            <w:vAlign w:val="bottom"/>
          </w:tcPr>
          <w:p>
            <w:pPr>
              <w:spacing w:after="0"/>
              <w:rPr>
                <w:sz w:val="1"/>
                <w:szCs w:val="1"/>
                <w:color w:val="auto"/>
              </w:rPr>
            </w:pPr>
          </w:p>
        </w:tc>
      </w:tr>
      <w:tr>
        <w:trPr>
          <w:trHeight w:val="346"/>
        </w:trPr>
        <w:tc>
          <w:tcPr>
            <w:tcW w:w="2260" w:type="dxa"/>
            <w:vAlign w:val="bottom"/>
          </w:tcPr>
          <w:p>
            <w:pPr>
              <w:spacing w:after="0"/>
              <w:rPr>
                <w:sz w:val="24"/>
                <w:szCs w:val="24"/>
                <w:color w:val="auto"/>
              </w:rPr>
            </w:pPr>
          </w:p>
        </w:tc>
        <w:tc>
          <w:tcPr>
            <w:tcW w:w="4560" w:type="dxa"/>
            <w:vAlign w:val="bottom"/>
          </w:tcPr>
          <w:p>
            <w:pPr>
              <w:jc w:val="center"/>
              <w:ind w:left="770"/>
              <w:spacing w:after="0"/>
              <w:rPr>
                <w:sz w:val="20"/>
                <w:szCs w:val="20"/>
                <w:color w:val="auto"/>
              </w:rPr>
            </w:pPr>
            <w:r>
              <w:rPr>
                <w:rFonts w:ascii="Arial" w:cs="Arial" w:eastAsia="Arial" w:hAnsi="Arial"/>
                <w:sz w:val="18"/>
                <w:szCs w:val="18"/>
                <w:color w:val="auto"/>
                <w:w w:val="91"/>
              </w:rPr>
              <w:t>Participant Designation</w:t>
            </w:r>
          </w:p>
        </w:tc>
        <w:tc>
          <w:tcPr>
            <w:tcW w:w="0" w:type="dxa"/>
            <w:vAlign w:val="bottom"/>
          </w:tcPr>
          <w:p>
            <w:pPr>
              <w:spacing w:after="0"/>
              <w:rPr>
                <w:sz w:val="1"/>
                <w:szCs w:val="1"/>
                <w:color w:val="auto"/>
              </w:rPr>
            </w:pPr>
          </w:p>
        </w:tc>
      </w:tr>
      <w:tr>
        <w:trPr>
          <w:trHeight w:val="473"/>
        </w:trPr>
        <w:tc>
          <w:tcPr>
            <w:tcW w:w="2260" w:type="dxa"/>
            <w:vAlign w:val="bottom"/>
          </w:tcPr>
          <w:p>
            <w:pPr>
              <w:spacing w:after="0"/>
              <w:rPr>
                <w:sz w:val="20"/>
                <w:szCs w:val="20"/>
                <w:color w:val="auto"/>
              </w:rPr>
            </w:pPr>
            <w:r>
              <w:rPr>
                <w:rFonts w:ascii="Arial" w:cs="Arial" w:eastAsia="Arial" w:hAnsi="Arial"/>
                <w:sz w:val="18"/>
                <w:szCs w:val="18"/>
                <w:b w:val="1"/>
                <w:bCs w:val="1"/>
                <w:color w:val="auto"/>
              </w:rPr>
              <w:t>Tier</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line="176" w:lineRule="exact"/>
              <w:rPr>
                <w:sz w:val="20"/>
                <w:szCs w:val="20"/>
                <w:color w:val="auto"/>
              </w:rPr>
            </w:pPr>
            <w:r>
              <w:rPr>
                <w:rFonts w:ascii="Arial" w:cs="Arial" w:eastAsia="Arial" w:hAnsi="Arial"/>
                <w:sz w:val="18"/>
                <w:szCs w:val="18"/>
                <w:b w:val="1"/>
                <w:bCs w:val="1"/>
                <w:color w:val="auto"/>
              </w:rPr>
              <w:t>1</w:t>
            </w: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K. J. McNamara</w:t>
            </w:r>
          </w:p>
        </w:tc>
        <w:tc>
          <w:tcPr>
            <w:tcW w:w="4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60"/>
              <w:spacing w:after="0"/>
              <w:rPr>
                <w:sz w:val="20"/>
                <w:szCs w:val="20"/>
                <w:color w:val="auto"/>
              </w:rPr>
            </w:pPr>
            <w:r>
              <w:rPr>
                <w:rFonts w:ascii="Arial" w:cs="Arial" w:eastAsia="Arial" w:hAnsi="Arial"/>
                <w:sz w:val="18"/>
                <w:szCs w:val="18"/>
                <w:color w:val="auto"/>
              </w:rPr>
              <w:t>D. P. Williams</w:t>
            </w:r>
          </w:p>
        </w:tc>
        <w:tc>
          <w:tcPr>
            <w:tcW w:w="4560" w:type="dxa"/>
            <w:vAlign w:val="bottom"/>
          </w:tcPr>
          <w:p>
            <w:pPr>
              <w:ind w:left="480"/>
              <w:spacing w:after="0"/>
              <w:rPr>
                <w:sz w:val="20"/>
                <w:szCs w:val="20"/>
                <w:color w:val="auto"/>
              </w:rPr>
            </w:pPr>
            <w:r>
              <w:rPr>
                <w:rFonts w:ascii="Arial" w:cs="Arial" w:eastAsia="Arial" w:hAnsi="Arial"/>
                <w:sz w:val="18"/>
                <w:szCs w:val="18"/>
                <w:color w:val="auto"/>
              </w:rPr>
              <w:t>Executive VP and Chief Financial Officer</w:t>
            </w:r>
          </w:p>
        </w:tc>
        <w:tc>
          <w:tcPr>
            <w:tcW w:w="0" w:type="dxa"/>
            <w:vAlign w:val="bottom"/>
          </w:tcPr>
          <w:p>
            <w:pPr>
              <w:spacing w:after="0"/>
              <w:rPr>
                <w:sz w:val="1"/>
                <w:szCs w:val="1"/>
                <w:color w:val="auto"/>
              </w:rPr>
            </w:pPr>
          </w:p>
        </w:tc>
      </w:tr>
      <w:tr>
        <w:trPr>
          <w:trHeight w:val="647"/>
        </w:trPr>
        <w:tc>
          <w:tcPr>
            <w:tcW w:w="2260" w:type="dxa"/>
            <w:vAlign w:val="bottom"/>
          </w:tcPr>
          <w:p>
            <w:pPr>
              <w:spacing w:after="0"/>
              <w:rPr>
                <w:sz w:val="20"/>
                <w:szCs w:val="20"/>
                <w:color w:val="auto"/>
              </w:rPr>
            </w:pPr>
            <w:r>
              <w:rPr>
                <w:rFonts w:ascii="Arial" w:cs="Arial" w:eastAsia="Arial" w:hAnsi="Arial"/>
                <w:sz w:val="18"/>
                <w:szCs w:val="18"/>
                <w:b w:val="1"/>
                <w:bCs w:val="1"/>
                <w:color w:val="auto"/>
              </w:rPr>
              <w:t>Tier</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line="176" w:lineRule="exact"/>
              <w:rPr>
                <w:sz w:val="20"/>
                <w:szCs w:val="20"/>
                <w:color w:val="auto"/>
              </w:rPr>
            </w:pPr>
            <w:r>
              <w:rPr>
                <w:rFonts w:ascii="Arial" w:cs="Arial" w:eastAsia="Arial" w:hAnsi="Arial"/>
                <w:sz w:val="18"/>
                <w:szCs w:val="18"/>
                <w:b w:val="1"/>
                <w:bCs w:val="1"/>
                <w:color w:val="auto"/>
              </w:rPr>
              <w:t>2</w:t>
            </w: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VP and Controller</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M. D. Witzeman</w:t>
            </w:r>
          </w:p>
        </w:tc>
        <w:tc>
          <w:tcPr>
            <w:tcW w:w="4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T. C. Hutton</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L. A. Reinhard</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VP and Chief Administrative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G. A. Zarick</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B. C. Judkins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VP and Chief Legal Officer</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H. R. Schmidt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VP and Assistant Controller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N. J. McNamara</w:t>
            </w: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135"/>
        </w:trPr>
        <w:tc>
          <w:tcPr>
            <w:tcW w:w="2260" w:type="dxa"/>
            <w:vAlign w:val="bottom"/>
            <w:vMerge w:val="restart"/>
          </w:tcPr>
          <w:p>
            <w:pPr>
              <w:ind w:left="460"/>
              <w:spacing w:after="0" w:line="176" w:lineRule="exact"/>
              <w:rPr>
                <w:sz w:val="20"/>
                <w:szCs w:val="20"/>
                <w:color w:val="auto"/>
              </w:rPr>
            </w:pPr>
            <w:r>
              <w:rPr>
                <w:rFonts w:ascii="Arial" w:cs="Arial" w:eastAsia="Arial" w:hAnsi="Arial"/>
                <w:sz w:val="18"/>
                <w:szCs w:val="18"/>
                <w:color w:val="auto"/>
              </w:rPr>
              <w:t>(a)</w:t>
            </w:r>
          </w:p>
        </w:tc>
        <w:tc>
          <w:tcPr>
            <w:tcW w:w="4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260" w:type="dxa"/>
            <w:vAlign w:val="bottom"/>
            <w:vMerge w:val="continue"/>
          </w:tcPr>
          <w:p>
            <w:pPr>
              <w:spacing w:after="0"/>
              <w:rPr>
                <w:sz w:val="3"/>
                <w:szCs w:val="3"/>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Vitas Chief Executive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N. M. Westfall</w:t>
            </w:r>
          </w:p>
        </w:tc>
        <w:tc>
          <w:tcPr>
            <w:tcW w:w="4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P. Hale</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Vitas Executive VP and Chief Information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J. Wherley</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Vitas Executive VP and Chief Operating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P. Husted</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Vitas Executive VP Operations</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R. C. Miller</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Vitas Executive VP and Chief Compliance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J. Kreger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Vitas Executive VP and Chief Financial Officer</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D. Psaras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w w:val="90"/>
              </w:rPr>
              <w:t>Vitas Executive VP and Chief Human Resources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J. Shega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Vitas Executive VP and Chief Medical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B. Stock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Senior VP Strategy and Innovation</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B. Wysong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Senior VP Operational Performance</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S. S. Lee</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Roto-Rooter Chief Executive Officer</w:t>
            </w:r>
          </w:p>
        </w:tc>
        <w:tc>
          <w:tcPr>
            <w:tcW w:w="0" w:type="dxa"/>
            <w:vAlign w:val="bottom"/>
          </w:tcPr>
          <w:p>
            <w:pPr>
              <w:spacing w:after="0"/>
              <w:rPr>
                <w:sz w:val="1"/>
                <w:szCs w:val="1"/>
                <w:color w:val="auto"/>
              </w:rPr>
            </w:pPr>
          </w:p>
        </w:tc>
      </w:tr>
      <w:tr>
        <w:trPr>
          <w:trHeight w:val="176"/>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R. P. Goldschmidt</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Roto-Rooter President</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M. A. Conners</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Roto-Rooter Executive VP - Contractors</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K. M. Aielli</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Roto-Rooter Vice President – Finance</w:t>
            </w:r>
          </w:p>
        </w:tc>
        <w:tc>
          <w:tcPr>
            <w:tcW w:w="0" w:type="dxa"/>
            <w:vAlign w:val="bottom"/>
          </w:tcPr>
          <w:p>
            <w:pPr>
              <w:spacing w:after="0"/>
              <w:rPr>
                <w:sz w:val="1"/>
                <w:szCs w:val="1"/>
                <w:color w:val="auto"/>
              </w:rPr>
            </w:pPr>
          </w:p>
        </w:tc>
      </w:tr>
      <w:tr>
        <w:trPr>
          <w:trHeight w:val="175"/>
        </w:trPr>
        <w:tc>
          <w:tcPr>
            <w:tcW w:w="2260" w:type="dxa"/>
            <w:vAlign w:val="bottom"/>
          </w:tcPr>
          <w:p>
            <w:pPr>
              <w:ind w:left="460"/>
              <w:spacing w:after="0" w:line="176" w:lineRule="exact"/>
              <w:rPr>
                <w:sz w:val="20"/>
                <w:szCs w:val="20"/>
                <w:color w:val="auto"/>
              </w:rPr>
            </w:pPr>
            <w:r>
              <w:rPr>
                <w:rFonts w:ascii="Arial" w:cs="Arial" w:eastAsia="Arial" w:hAnsi="Arial"/>
                <w:sz w:val="18"/>
                <w:szCs w:val="18"/>
                <w:color w:val="auto"/>
              </w:rPr>
              <w:t>S. Ratterman (a)</w:t>
            </w:r>
          </w:p>
        </w:tc>
        <w:tc>
          <w:tcPr>
            <w:tcW w:w="4560" w:type="dxa"/>
            <w:vAlign w:val="bottom"/>
          </w:tcPr>
          <w:p>
            <w:pPr>
              <w:ind w:left="480"/>
              <w:spacing w:after="0" w:line="176" w:lineRule="exact"/>
              <w:rPr>
                <w:sz w:val="20"/>
                <w:szCs w:val="20"/>
                <w:color w:val="auto"/>
              </w:rPr>
            </w:pPr>
            <w:r>
              <w:rPr>
                <w:rFonts w:ascii="Arial" w:cs="Arial" w:eastAsia="Arial" w:hAnsi="Arial"/>
                <w:sz w:val="18"/>
                <w:szCs w:val="18"/>
                <w:color w:val="auto"/>
              </w:rPr>
              <w:t>Roto-Rooter Vice President – Financial Operations</w:t>
            </w:r>
          </w:p>
        </w:tc>
        <w:tc>
          <w:tcPr>
            <w:tcW w:w="0" w:type="dxa"/>
            <w:vAlign w:val="bottom"/>
          </w:tcPr>
          <w:p>
            <w:pPr>
              <w:spacing w:after="0"/>
              <w:rPr>
                <w:sz w:val="1"/>
                <w:szCs w:val="1"/>
                <w:color w:val="auto"/>
              </w:rPr>
            </w:pPr>
          </w:p>
        </w:tc>
      </w:tr>
      <w:tr>
        <w:trPr>
          <w:trHeight w:val="230"/>
        </w:trPr>
        <w:tc>
          <w:tcPr>
            <w:tcW w:w="2260" w:type="dxa"/>
            <w:vAlign w:val="bottom"/>
          </w:tcPr>
          <w:p>
            <w:pPr>
              <w:ind w:left="460"/>
              <w:spacing w:after="0"/>
              <w:rPr>
                <w:sz w:val="20"/>
                <w:szCs w:val="20"/>
                <w:color w:val="auto"/>
              </w:rPr>
            </w:pPr>
            <w:r>
              <w:rPr>
                <w:rFonts w:ascii="Arial" w:cs="Arial" w:eastAsia="Arial" w:hAnsi="Arial"/>
                <w:sz w:val="18"/>
                <w:szCs w:val="18"/>
                <w:color w:val="auto"/>
              </w:rPr>
              <w:t>M. Polyak (a)</w:t>
            </w:r>
          </w:p>
        </w:tc>
        <w:tc>
          <w:tcPr>
            <w:tcW w:w="4560" w:type="dxa"/>
            <w:vAlign w:val="bottom"/>
          </w:tcPr>
          <w:p>
            <w:pPr>
              <w:ind w:left="480"/>
              <w:spacing w:after="0"/>
              <w:rPr>
                <w:sz w:val="20"/>
                <w:szCs w:val="20"/>
                <w:color w:val="auto"/>
              </w:rPr>
            </w:pPr>
            <w:r>
              <w:rPr>
                <w:rFonts w:ascii="Arial" w:cs="Arial" w:eastAsia="Arial" w:hAnsi="Arial"/>
                <w:sz w:val="18"/>
                <w:szCs w:val="18"/>
                <w:color w:val="auto"/>
              </w:rPr>
              <w:t>Roto-Rooter Senior Vice President – Operations</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40" w:firstLine="648"/>
        <w:spacing w:after="0" w:line="242" w:lineRule="auto"/>
        <w:rPr>
          <w:sz w:val="20"/>
          <w:szCs w:val="20"/>
          <w:color w:val="auto"/>
        </w:rPr>
      </w:pPr>
      <w:r>
        <w:rPr>
          <w:rFonts w:ascii="Arial" w:cs="Arial" w:eastAsia="Arial" w:hAnsi="Arial"/>
          <w:sz w:val="19"/>
          <w:szCs w:val="19"/>
          <w:color w:val="auto"/>
        </w:rPr>
        <w:t xml:space="preserve">Denotes Participates Designation added to the Plan </w:t>
      </w:r>
      <w:r>
        <w:rPr>
          <w:rFonts w:ascii="Arial" w:cs="Arial" w:eastAsia="Arial" w:hAnsi="Arial"/>
          <w:sz w:val="19"/>
          <w:szCs w:val="19"/>
          <w:b w:val="1"/>
          <w:bCs w:val="1"/>
          <w:i w:val="1"/>
          <w:iCs w:val="1"/>
          <w:color w:val="auto"/>
        </w:rPr>
        <w:t>After</w:t>
      </w:r>
      <w:r>
        <w:rPr>
          <w:rFonts w:ascii="Arial" w:cs="Arial" w:eastAsia="Arial" w:hAnsi="Arial"/>
          <w:sz w:val="19"/>
          <w:szCs w:val="19"/>
          <w:color w:val="auto"/>
        </w:rPr>
        <w:t xml:space="preserve"> August 3, 2018 Plan Amendment which eliminated gross-up payments for excise taxes for future participants, as approved by the Committee.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287" w:right="9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auto"/>
        </w:rPr>
        <w:t>EXHIBIT 10.20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CHEMED CORPORATION</w:t>
      </w:r>
    </w:p>
    <w:p>
      <w:pPr>
        <w:jc w:val="center"/>
        <w:spacing w:after="0" w:line="203" w:lineRule="auto"/>
        <w:rPr>
          <w:sz w:val="20"/>
          <w:szCs w:val="20"/>
          <w:color w:val="auto"/>
        </w:rPr>
      </w:pPr>
      <w:r>
        <w:rPr>
          <w:rFonts w:ascii="Arial" w:cs="Arial" w:eastAsia="Arial" w:hAnsi="Arial"/>
          <w:sz w:val="18"/>
          <w:szCs w:val="18"/>
          <w:b w:val="1"/>
          <w:bCs w:val="1"/>
          <w:color w:val="auto"/>
        </w:rPr>
        <w:t>SENIOR EXECUTIVE SEVERANCE POLICY</w:t>
      </w:r>
    </w:p>
    <w:p>
      <w:pPr>
        <w:jc w:val="center"/>
        <w:spacing w:after="0"/>
        <w:rPr>
          <w:sz w:val="20"/>
          <w:szCs w:val="20"/>
          <w:color w:val="auto"/>
        </w:rPr>
      </w:pPr>
      <w:r>
        <w:rPr>
          <w:rFonts w:ascii="Arial" w:cs="Arial" w:eastAsia="Arial" w:hAnsi="Arial"/>
          <w:sz w:val="18"/>
          <w:szCs w:val="18"/>
          <w:b w:val="1"/>
          <w:bCs w:val="1"/>
          <w:color w:val="auto"/>
        </w:rPr>
        <w:t>AS AMENDED AUGUST 3, 2018</w:t>
      </w:r>
    </w:p>
    <w:p>
      <w:pPr>
        <w:spacing w:after="0" w:line="16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18"/>
          <w:szCs w:val="18"/>
          <w:color w:val="auto"/>
        </w:rPr>
        <w:t>As of December 1, 2006, Chemed Corporation established the Chemed Corporation Senior Executive Severance Policy (“</w:t>
      </w:r>
      <w:r>
        <w:rPr>
          <w:rFonts w:ascii="Arial" w:cs="Arial" w:eastAsia="Arial" w:hAnsi="Arial"/>
          <w:sz w:val="18"/>
          <w:szCs w:val="18"/>
          <w:u w:val="single" w:color="auto"/>
          <w:color w:val="auto"/>
        </w:rPr>
        <w:t>the Policy</w:t>
      </w:r>
      <w:r>
        <w:rPr>
          <w:rFonts w:ascii="Arial" w:cs="Arial" w:eastAsia="Arial" w:hAnsi="Arial"/>
          <w:sz w:val="18"/>
          <w:szCs w:val="18"/>
          <w:color w:val="auto"/>
        </w:rPr>
        <w:t>”). As of August 3, 2018 (the "Amendment Date"), the Company amended the Policy to provide that the tax gross-up provisions in Section 3.1 shall apply only to those individuals who were Participants in the Policy on the Amendment Date and not to anyone designated as a Participant following the Amendment Date.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8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7"/>
          <w:szCs w:val="17"/>
          <w:color w:val="auto"/>
        </w:rPr>
        <w:t>Participants in the Policy shall consist of those officers designated from time to time on Attachment A to this Policy by the Compensation/Incentive Committee of the Board of Directors, as may be approved by the Board of Directors. The Compensation/Incentive Committee and/or the Board shall have the ability to add or remove Participants at its discretion.</w:t>
      </w:r>
    </w:p>
    <w:p>
      <w:pPr>
        <w:spacing w:after="0" w:line="335"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TERMINATION OF EMPLOYMENT</w:t>
      </w:r>
    </w:p>
    <w:p>
      <w:pPr>
        <w:spacing w:after="0" w:line="173" w:lineRule="exact"/>
        <w:rPr>
          <w:sz w:val="20"/>
          <w:szCs w:val="20"/>
          <w:color w:val="auto"/>
        </w:rPr>
      </w:pPr>
    </w:p>
    <w:p>
      <w:pPr>
        <w:ind w:left="1300"/>
        <w:spacing w:after="0"/>
        <w:tabs>
          <w:tab w:leader="none" w:pos="3560" w:val="left"/>
        </w:tabs>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employment of a Participant shall terminate upon the occurrence of any of the</w:t>
      </w:r>
    </w:p>
    <w:p>
      <w:pPr>
        <w:spacing w:after="0"/>
        <w:rPr>
          <w:sz w:val="20"/>
          <w:szCs w:val="20"/>
          <w:color w:val="auto"/>
        </w:rPr>
      </w:pPr>
      <w:r>
        <w:rPr>
          <w:rFonts w:ascii="Arial" w:cs="Arial" w:eastAsia="Arial" w:hAnsi="Arial"/>
          <w:sz w:val="18"/>
          <w:szCs w:val="18"/>
          <w:color w:val="auto"/>
        </w:rPr>
        <w:t>following:</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death of the Participant;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termination of the Participant's employment due to the Participant's disability pursuant to §2.2;</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termination by the Company of the Participant's employment for Cause pursuant to §2.3;</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retirement of the Participant under a retirement plan of the Company; or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resignation of the Participant.</w:t>
      </w:r>
    </w:p>
    <w:p>
      <w:pPr>
        <w:spacing w:after="0" w:line="18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The termination by the Company of the Participant's employment for any reason other than those specified in this §2.1 shall hereinafter be referred to as a termination "Without Cause".</w:t>
      </w:r>
    </w:p>
    <w:p>
      <w:pPr>
        <w:spacing w:after="0" w:line="162" w:lineRule="exact"/>
        <w:rPr>
          <w:sz w:val="20"/>
          <w:szCs w:val="20"/>
          <w:color w:val="auto"/>
        </w:rPr>
      </w:pPr>
    </w:p>
    <w:p>
      <w:pPr>
        <w:jc w:val="both"/>
        <w:ind w:firstLine="1296"/>
        <w:spacing w:after="0" w:line="209"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by reason of physical or mental disability, the Participant is unable to carry out his or her duties pursuant to this Policy for four (4) consecutive months, the Participant’s may be terminated by the Company upon two (2) months' written notice to be given to the Participant at any time after the period of four (4) continuous months of disability and while such disability continues. If, prior to the expiration of the two (2) months after the giving of such notice, the Participant shall recover from such disability and return to the active discharge of his or her duties, then such notice shall be of no further force and effect and the Participant's employment shall continue as if such disability had not occurred. If the Participant shall not so recover from his or her disability and return to his or her duties, then the Participant’s services shall terminate at the expiration date of such two (2) months' notice. In the event a dispute arises between the Participant and the Company concerning the Participant's physical or mental ability to continue or return to the performance of his or her duties as aforesaid, the Participant shall submit to examination by a competent physician mutually agreeable to both parties, and such physician's opinion as to the Participant's ability to so perform will be final and binding.</w:t>
      </w:r>
    </w:p>
    <w:p>
      <w:pPr>
        <w:spacing w:after="0" w:line="164"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The Company may, at any time by written notice to the Participant, terminate his or her services for Cause. Such notice shall specify the event or events and the actions or failure to act constituting Cause. “</w:t>
      </w:r>
      <w:r>
        <w:rPr>
          <w:rFonts w:ascii="Arial" w:cs="Arial" w:eastAsia="Arial" w:hAnsi="Arial"/>
          <w:sz w:val="18"/>
          <w:szCs w:val="18"/>
          <w:u w:val="single" w:color="auto"/>
          <w:color w:val="auto"/>
        </w:rPr>
        <w:t>Cause</w:t>
      </w:r>
      <w:r>
        <w:rPr>
          <w:rFonts w:ascii="Arial" w:cs="Arial" w:eastAsia="Arial" w:hAnsi="Arial"/>
          <w:sz w:val="18"/>
          <w:szCs w:val="18"/>
          <w:color w:val="auto"/>
        </w:rPr>
        <w:t>” shall mean, with respect to a Participant’s termination of employment: (a) the willful and repeated failure of the Participant to perform substantially the Participant’s duties with Company (other than any such failure resulting from incapacity due to physical or mental illness); (b) the Participant’s conviction of, or plea of guilty or nolo contendere to, which through lapse of time or otherwise is not subject to appeal, a felony which is materially and demonstrably injurious to Company; or (c) the Participant’s engagement in willful gross misconduct or gross negligence in connection with his or her employment.</w:t>
      </w:r>
    </w:p>
    <w:p>
      <w:pPr>
        <w:spacing w:after="0" w:line="165" w:lineRule="exact"/>
        <w:rPr>
          <w:sz w:val="20"/>
          <w:szCs w:val="20"/>
          <w:color w:val="auto"/>
        </w:rPr>
      </w:pPr>
    </w:p>
    <w:p>
      <w:pPr>
        <w:jc w:val="both"/>
        <w:ind w:right="20" w:firstLine="1296"/>
        <w:spacing w:after="0" w:line="224" w:lineRule="auto"/>
        <w:rPr>
          <w:sz w:val="20"/>
          <w:szCs w:val="20"/>
          <w:color w:val="auto"/>
        </w:rPr>
      </w:pPr>
      <w:r>
        <w:rPr>
          <w:rFonts w:ascii="Arial" w:cs="Arial" w:eastAsia="Arial" w:hAnsi="Arial"/>
          <w:sz w:val="18"/>
          <w:szCs w:val="18"/>
          <w:color w:val="auto"/>
        </w:rPr>
        <w:t>If the basis for discharge is pursuant to paragraph (c) above, the Participant shall have thirty (30) days from receipt of the notice of termination for Cause to cure, if curable, the actions or failure to act specified in such notice and, in the event of any such cure within such period, such conduct shall not constitute Cause 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3" w:right="979" w:bottom="1440" w:gutter="0" w:footer="0" w:header="0"/>
        </w:sectPr>
      </w:pPr>
    </w:p>
    <w:bookmarkStart w:id="110" w:name="page111"/>
    <w:bookmarkEnd w:id="110"/>
    <w:p>
      <w:pPr>
        <w:ind w:left="1300"/>
        <w:spacing w:after="0"/>
        <w:rPr>
          <w:sz w:val="20"/>
          <w:szCs w:val="20"/>
          <w:color w:val="auto"/>
        </w:rPr>
      </w:pPr>
      <w:r>
        <w:rPr>
          <w:rFonts w:ascii="Arial" w:cs="Arial" w:eastAsia="Arial" w:hAnsi="Arial"/>
          <w:sz w:val="18"/>
          <w:szCs w:val="18"/>
          <w:u w:val="single" w:color="auto"/>
          <w:color w:val="auto"/>
        </w:rPr>
        <w:t>Consequences of Termination</w:t>
      </w:r>
      <w:r>
        <w:rPr>
          <w:rFonts w:ascii="Arial" w:cs="Arial" w:eastAsia="Arial" w:hAnsi="Arial"/>
          <w:sz w:val="18"/>
          <w:szCs w:val="18"/>
          <w:color w:val="auto"/>
        </w:rPr>
        <w:t>.</w:t>
      </w:r>
    </w:p>
    <w:p>
      <w:pPr>
        <w:spacing w:after="0" w:line="18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If the Participant's employment shall terminate pursuant to any of the provisions of this Article 2, the Participant’s base salary and all incentive compensation shall cease to accrue forthwith.</w:t>
      </w:r>
    </w:p>
    <w:p>
      <w:pPr>
        <w:spacing w:after="0" w:line="16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17"/>
          <w:szCs w:val="17"/>
          <w:color w:val="auto"/>
        </w:rPr>
        <w:t>If the Company shall terminate the Participant's employment Without Cause, the Company shall pay the Participant within 10 days of termination but in no event later than the following March 15 a lump sum amount in cash equal to one and one-half times the Participant’s then annual base salary plus a lump sum amount in cash equal to the product of: (i) the average amount of the Participant’s annual incentives under the Company’s annual incentive plan paid or payable for the last three full fiscal years prior to termination; and (ii) a fraction, the numerator of which is the number of days in the fiscal year through the date of termination and the denominator of which is 365. The Participant shall also be eligible to participate in the Company’s welfare benefits plans such as health insurance, life insurance, long-term care insurance, and long-term disability benefits plans for twelve months following termination, at the then current employee contribution rates; provided that if the Participant is precluded from continuing his or her participation in any applicable plan, program, or arrangement, the Participant shall be provided with the after-tax cost of continuation of such coverage, including premiums under the Consolidated Omnibus Budget Reconciliation Act of 1985, as amended, (“</w:t>
      </w:r>
      <w:r>
        <w:rPr>
          <w:rFonts w:ascii="Arial" w:cs="Arial" w:eastAsia="Arial" w:hAnsi="Arial"/>
          <w:sz w:val="17"/>
          <w:szCs w:val="17"/>
          <w:u w:val="single" w:color="auto"/>
          <w:color w:val="auto"/>
        </w:rPr>
        <w:t>COBRA Premiums</w:t>
      </w:r>
      <w:r>
        <w:rPr>
          <w:rFonts w:ascii="Arial" w:cs="Arial" w:eastAsia="Arial" w:hAnsi="Arial"/>
          <w:sz w:val="17"/>
          <w:szCs w:val="17"/>
          <w:color w:val="auto"/>
        </w:rPr>
        <w:t>”), for the Participant with respect to the benefits provided under such plan, program, or arrangement, paid as a lump sum within 10 days of termination, but in no event later than the following March 15. If the Participant becomes reemployed with another employer and is eligible to receive health insurance, life insurance, long-term care insurance or long-term disability coverage under another employer-provided plan (regardless of whether the Participant elects such coverage), the welfare benefits provided pursuant to this Policy shall be secondary to those provided under such other plan.</w:t>
      </w:r>
    </w:p>
    <w:p>
      <w:pPr>
        <w:spacing w:after="0" w:line="173"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8"/>
          <w:szCs w:val="18"/>
          <w:color w:val="auto"/>
        </w:rPr>
        <w:t>In the event that the Participant’s employment shall terminate pursuant to any of the provisions of this Article 2, the rights of the Participant under any incentive compensation plan of the Company, under any executive or employee benefit plans or arrangements, or otherwise shall be determined, subject to this Article 2, in accordance with the terms and provisions of such plans, arrangements and options applicable to an employee whose employment has terminated in the manner that occurred, except that a termination Without Cause shall be treated as a retirement under a retirement plan of the Company for the purposes of the Company stock incentive plans.</w:t>
      </w:r>
    </w:p>
    <w:p>
      <w:pPr>
        <w:spacing w:after="0" w:line="16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8"/>
          <w:szCs w:val="18"/>
          <w:color w:val="auto"/>
        </w:rPr>
        <w:t>If the Participant’s employment shall terminate pursuant to §2.1(a), (b), or (d), the Company shall pay the Participant, during the period from the 183rd to the 190th day following termination, in lieu of any amounts that may be due and payable under the Company’s annual incentive plan for the fiscal year of termination a lump sum amount in cash equal to the product of: (i) the average amount of the Participant’s annual incentives under the Company’s annual incentive plan paid or payable for the last three full fiscal years prior to termination; and (ii) a fraction, the numerator of which is the number of days in the fiscal year through the date of termination and the denominator of which is 365.</w:t>
      </w:r>
    </w:p>
    <w:p>
      <w:pPr>
        <w:spacing w:after="0" w:line="16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If the Participant’s employment shall terminate pursuant to §2.1(e) or if the Company shall terminate Participant’s employment with Cause pursuant to §2.1(c), Participant’s annual incentive bonus shall then be forfeited.</w:t>
      </w:r>
    </w:p>
    <w:p>
      <w:pPr>
        <w:spacing w:after="0" w:line="162" w:lineRule="exact"/>
        <w:rPr>
          <w:sz w:val="20"/>
          <w:szCs w:val="20"/>
          <w:color w:val="auto"/>
        </w:rPr>
      </w:pPr>
    </w:p>
    <w:p>
      <w:pPr>
        <w:jc w:val="both"/>
        <w:ind w:right="20" w:firstLine="1296"/>
        <w:spacing w:after="0" w:line="224" w:lineRule="auto"/>
        <w:rPr>
          <w:sz w:val="20"/>
          <w:szCs w:val="20"/>
          <w:color w:val="auto"/>
        </w:rPr>
      </w:pPr>
      <w:r>
        <w:rPr>
          <w:rFonts w:ascii="Arial" w:cs="Arial" w:eastAsia="Arial" w:hAnsi="Arial"/>
          <w:sz w:val="18"/>
          <w:szCs w:val="18"/>
          <w:color w:val="auto"/>
        </w:rPr>
        <w:t>Participant shall not be required to offset against amounts due from the Company under this Article 2 for any salary, bonus or other benefits (other than welfare benefits described above) received by the Participant from a third-party, and the Participant shall be under no duty to mitigate by seeking or accepting another position.</w:t>
      </w:r>
    </w:p>
    <w:p>
      <w:pPr>
        <w:spacing w:after="0" w:line="16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Any amounts paid or benefits received under this Policy are conditioned upon execution of a waiver of liability in favor of the Company executed by the Participant, in the form approved by the Company’s counsel.</w:t>
      </w:r>
    </w:p>
    <w:p>
      <w:pPr>
        <w:spacing w:after="0" w:line="16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6"/>
          <w:szCs w:val="16"/>
          <w:color w:val="auto"/>
        </w:rPr>
        <w:t>Any amounts paid or benefits received under this Policy are also conditioned, other than a termination under Section 2.1(a), upon execution of the following in a form approved by the Company’s counsel: (i) an agreement prohibiting directly or indirectly publishing or disclosing any confidential information of the Company or any of its affiliates, or using such confidential information for the Participant’s own use or making it available to others; (ii) a one-year post termination non-compete agreement under which the Participant will not directly or indirectly engage in or become interested in any business providing or arranging for any products or services that directly or indirectly are in competition with the Company or any of its subsidiaries; and (iii) an agreement prohibiting solicitation during such one-year period of the employment of any employees or other personnel providing services to the Company or any of its subsidiaries or soliciting the business of any customer of the Company or any of its subsidiaries.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APPLICATION OF SECTION 409A OF THE INTERNAL REVENUE CODE.</w:t>
      </w:r>
    </w:p>
    <w:p>
      <w:pPr>
        <w:spacing w:after="0" w:line="18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This Section 3.1 shall apply only to those individuals who were Participants in the Policy on the Amendment Date and not to anyone designated as a Participant following the Amendment Date.</w:t>
      </w:r>
    </w:p>
    <w:p>
      <w:pPr>
        <w:spacing w:after="0" w:line="162" w:lineRule="exact"/>
        <w:rPr>
          <w:sz w:val="20"/>
          <w:szCs w:val="20"/>
          <w:color w:val="auto"/>
        </w:rPr>
      </w:pPr>
    </w:p>
    <w:p>
      <w:pPr>
        <w:jc w:val="both"/>
        <w:ind w:right="20" w:firstLine="1296"/>
        <w:spacing w:after="0" w:line="289" w:lineRule="auto"/>
        <w:rPr>
          <w:sz w:val="20"/>
          <w:szCs w:val="20"/>
          <w:color w:val="auto"/>
        </w:rPr>
      </w:pPr>
      <w:r>
        <w:rPr>
          <w:rFonts w:ascii="Arial" w:cs="Arial" w:eastAsia="Arial" w:hAnsi="Arial"/>
          <w:sz w:val="16"/>
          <w:szCs w:val="16"/>
          <w:color w:val="auto"/>
        </w:rPr>
        <w:t>In the event that any payment or benefit to the Participant or for the Participant’s benefit paid or payable or distributed or distributable under this Policy (“</w:t>
      </w:r>
      <w:r>
        <w:rPr>
          <w:rFonts w:ascii="Arial" w:cs="Arial" w:eastAsia="Arial" w:hAnsi="Arial"/>
          <w:sz w:val="16"/>
          <w:szCs w:val="16"/>
          <w:u w:val="single" w:color="auto"/>
          <w:color w:val="auto"/>
        </w:rPr>
        <w:t>Payment</w:t>
      </w:r>
      <w:r>
        <w:rPr>
          <w:rFonts w:ascii="Arial" w:cs="Arial" w:eastAsia="Arial" w:hAnsi="Arial"/>
          <w:sz w:val="16"/>
          <w:szCs w:val="16"/>
          <w:color w:val="auto"/>
        </w:rPr>
        <w:t>”), would be subject to the excise tax imposed by Section 409A of the Internal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11" w:name="page112"/>
    <w:bookmarkEnd w:id="111"/>
    <w:p>
      <w:pPr>
        <w:jc w:val="both"/>
        <w:ind w:right="20"/>
        <w:spacing w:after="0" w:line="226" w:lineRule="auto"/>
        <w:rPr>
          <w:sz w:val="20"/>
          <w:szCs w:val="20"/>
          <w:color w:val="auto"/>
        </w:rPr>
      </w:pPr>
      <w:r>
        <w:rPr>
          <w:rFonts w:ascii="Arial" w:cs="Arial" w:eastAsia="Arial" w:hAnsi="Arial"/>
          <w:sz w:val="17"/>
          <w:szCs w:val="17"/>
          <w:color w:val="auto"/>
        </w:rPr>
        <w:t>Code (“</w:t>
      </w:r>
      <w:r>
        <w:rPr>
          <w:rFonts w:ascii="Arial" w:cs="Arial" w:eastAsia="Arial" w:hAnsi="Arial"/>
          <w:sz w:val="17"/>
          <w:szCs w:val="17"/>
          <w:u w:val="single" w:color="auto"/>
          <w:color w:val="auto"/>
        </w:rPr>
        <w:t>Code</w:t>
      </w:r>
      <w:r>
        <w:rPr>
          <w:rFonts w:ascii="Arial" w:cs="Arial" w:eastAsia="Arial" w:hAnsi="Arial"/>
          <w:sz w:val="17"/>
          <w:szCs w:val="17"/>
          <w:color w:val="auto"/>
        </w:rPr>
        <w:t>”), or any interest or penalties are incurred by the Participant with respect to such excise tax (collectively, “</w:t>
      </w:r>
      <w:r>
        <w:rPr>
          <w:rFonts w:ascii="Arial" w:cs="Arial" w:eastAsia="Arial" w:hAnsi="Arial"/>
          <w:sz w:val="17"/>
          <w:szCs w:val="17"/>
          <w:u w:val="single" w:color="auto"/>
          <w:color w:val="auto"/>
        </w:rPr>
        <w:t>Excise Tax</w:t>
      </w:r>
      <w:r>
        <w:rPr>
          <w:rFonts w:ascii="Arial" w:cs="Arial" w:eastAsia="Arial" w:hAnsi="Arial"/>
          <w:sz w:val="17"/>
          <w:szCs w:val="17"/>
          <w:color w:val="auto"/>
        </w:rPr>
        <w:t>”), the Participant will be entitled to receive an additional payment (“</w:t>
      </w:r>
      <w:r>
        <w:rPr>
          <w:rFonts w:ascii="Arial" w:cs="Arial" w:eastAsia="Arial" w:hAnsi="Arial"/>
          <w:sz w:val="17"/>
          <w:szCs w:val="17"/>
          <w:u w:val="single" w:color="auto"/>
          <w:color w:val="auto"/>
        </w:rPr>
        <w:t>Gross-Up Payment</w:t>
      </w:r>
      <w:r>
        <w:rPr>
          <w:rFonts w:ascii="Arial" w:cs="Arial" w:eastAsia="Arial" w:hAnsi="Arial"/>
          <w:sz w:val="17"/>
          <w:szCs w:val="17"/>
          <w:color w:val="auto"/>
        </w:rPr>
        <w:t>”) in an amount such that after payment by the Participant of all taxes (including any income or payroll tax, interest or penalties imposed with respect to such taxes and the Excise Tax, other than interest and penalties imposed by reason of the Participant’s failure to file timely a tax return or pay taxes shown due on the Participant’s return, and including any Excise Tax imposed upon the Gross-Up Payment), the Participant retains an amount of the Gross-Up Payment equal to the Excise Tax imposed upon the Payments.</w:t>
      </w:r>
    </w:p>
    <w:p>
      <w:pPr>
        <w:spacing w:after="0" w:line="16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7"/>
          <w:szCs w:val="17"/>
          <w:color w:val="auto"/>
        </w:rPr>
        <w:t>An initial determination as to whether and in what amount a Gross-Up Payment is required will be made at the Company’s expense by an accounting firm of recognized national standing selected by the Company (“</w:t>
      </w:r>
      <w:r>
        <w:rPr>
          <w:rFonts w:ascii="Arial" w:cs="Arial" w:eastAsia="Arial" w:hAnsi="Arial"/>
          <w:sz w:val="17"/>
          <w:szCs w:val="17"/>
          <w:u w:val="single" w:color="auto"/>
          <w:color w:val="auto"/>
        </w:rPr>
        <w:t>Accounting Firm</w:t>
      </w:r>
      <w:r>
        <w:rPr>
          <w:rFonts w:ascii="Arial" w:cs="Arial" w:eastAsia="Arial" w:hAnsi="Arial"/>
          <w:sz w:val="17"/>
          <w:szCs w:val="17"/>
          <w:color w:val="auto"/>
        </w:rPr>
        <w:t>”). The Accounting Firm will provide its determination (“</w:t>
      </w:r>
      <w:r>
        <w:rPr>
          <w:rFonts w:ascii="Arial" w:cs="Arial" w:eastAsia="Arial" w:hAnsi="Arial"/>
          <w:sz w:val="17"/>
          <w:szCs w:val="17"/>
          <w:u w:val="single" w:color="auto"/>
          <w:color w:val="auto"/>
        </w:rPr>
        <w:t>Determination</w:t>
      </w:r>
      <w:r>
        <w:rPr>
          <w:rFonts w:ascii="Arial" w:cs="Arial" w:eastAsia="Arial" w:hAnsi="Arial"/>
          <w:sz w:val="17"/>
          <w:szCs w:val="17"/>
          <w:color w:val="auto"/>
        </w:rPr>
        <w:t>”), together with detailed supporting calculations and documentation, to the Company and the Participant within five days of the date of termination, if applicable, or such other time as requested by the Company or by the Participant (provided the Participant reasonably believes that any of the Payments may be subject to the Excise Tax). If the Accounting Firm determines that no Excise Tax is payable by the Participant with respect to a Payment or Payments, it will furnish the Participant an opinion reasonably acceptable to the Participant that no Excise Tax will be imposed. Within 10 days of the delivery of the Determination, the Participant will have the right to dispute the Determination (the “</w:t>
      </w:r>
      <w:r>
        <w:rPr>
          <w:rFonts w:ascii="Arial" w:cs="Arial" w:eastAsia="Arial" w:hAnsi="Arial"/>
          <w:sz w:val="17"/>
          <w:szCs w:val="17"/>
          <w:u w:val="single" w:color="auto"/>
          <w:color w:val="auto"/>
        </w:rPr>
        <w:t>Dispute</w:t>
      </w:r>
      <w:r>
        <w:rPr>
          <w:rFonts w:ascii="Arial" w:cs="Arial" w:eastAsia="Arial" w:hAnsi="Arial"/>
          <w:sz w:val="17"/>
          <w:szCs w:val="17"/>
          <w:color w:val="auto"/>
        </w:rPr>
        <w:t>”). The Gross-Up Payment, if any, as determined pursuant to this Section will be paid by the Company to the Participant within 5 days of the receipt of the Determination. The existence of the Dispute will not in any way affect the Participant’s right to receive the Gross-Up Payment in accordance with the Determination. If there is no Dispute, the Determination will be binding upon the Company and the Participant, subject to the following paragraph.</w:t>
      </w:r>
    </w:p>
    <w:p>
      <w:pPr>
        <w:spacing w:after="0" w:line="16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7"/>
          <w:szCs w:val="17"/>
          <w:color w:val="auto"/>
        </w:rPr>
        <w:t>As a result of uncertainty in the application of Section 409A of the Code, it is possible that a Gross-Up Payment will be paid which should not be paid (“</w:t>
      </w:r>
      <w:r>
        <w:rPr>
          <w:rFonts w:ascii="Arial" w:cs="Arial" w:eastAsia="Arial" w:hAnsi="Arial"/>
          <w:sz w:val="17"/>
          <w:szCs w:val="17"/>
          <w:u w:val="single" w:color="auto"/>
          <w:color w:val="auto"/>
        </w:rPr>
        <w:t>Excess Payment</w:t>
      </w:r>
      <w:r>
        <w:rPr>
          <w:rFonts w:ascii="Arial" w:cs="Arial" w:eastAsia="Arial" w:hAnsi="Arial"/>
          <w:sz w:val="17"/>
          <w:szCs w:val="17"/>
          <w:color w:val="auto"/>
        </w:rPr>
        <w:t>”) or that a Gross-Up Payment which should be paid will not be paid (“</w:t>
      </w:r>
      <w:r>
        <w:rPr>
          <w:rFonts w:ascii="Arial" w:cs="Arial" w:eastAsia="Arial" w:hAnsi="Arial"/>
          <w:sz w:val="17"/>
          <w:szCs w:val="17"/>
          <w:u w:val="single" w:color="auto"/>
          <w:color w:val="auto"/>
        </w:rPr>
        <w:t>Underpayment</w:t>
      </w:r>
      <w:r>
        <w:rPr>
          <w:rFonts w:ascii="Arial" w:cs="Arial" w:eastAsia="Arial" w:hAnsi="Arial"/>
          <w:sz w:val="17"/>
          <w:szCs w:val="17"/>
          <w:color w:val="auto"/>
        </w:rPr>
        <w:t>”). An Underpayment will be deemed to have occurred (i) upon notice to the Participant from any governmental taxing authority that the Participant’s tax liability (whether in respect of the Participant’s current taxable year or in respect of any prior taxable year) may be increased by reason of the imposition of the Excise Tax on a Payment or Payments with respect to which the Company has failed to make a sufficient Gross-Up Payment, (ii) upon a determination by a court, (iii) by reason of a determination by the Company (which will include the position taken by the Company on its federal income tax return) or (iv) upon the resolution of the Dispute to the Participant’s satisfaction. If an Underpayment occurs, the Participant will promptly notify the Company and the Company will promptly, but in any event at least 5 days prior to the date on which the applicable government taxing authority has requested payment, pay to the Participant an additional Gross-Up Payment equal to the amount of the Underpayment plus any interest and penalties (other than interest and penalties imposed by reason of the Participant’s failure to file timely a tax return or pay taxes shown due on the Participant’s return) imposed on the Underpayment.</w:t>
      </w:r>
    </w:p>
    <w:p>
      <w:pPr>
        <w:spacing w:after="0" w:line="16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16"/>
          <w:szCs w:val="16"/>
          <w:color w:val="auto"/>
        </w:rPr>
        <w:t>An Excess Payment will be deemed to have occurred upon a Final Determination (as hereinafter defined) that the Excise Tax will not be imposed upon a Payment or Payments (or portion thereof) with respect to which the Participant had previously received a Gross-Up Payment. A “Final Determination” will be deemed to have occurred when the Participant has received from the applicable government taxing authority a refund of taxes or other reduction in the Participant’s tax liability by reason of the Excise Payment and upon either (x) the date a determination is made by, or an agreement is entered into with, the applicable governmental taxing authority which finally binds the Participant and such taxing authority, or if a claim is brought before a court, the date a final determination has been made by such court and either all appeals have been finally resolved or the time for all appeals has expired or (y) the statute of limitations with respect to the Participant’s applicable tax return has expired. If an Excess Payment is determined to have been made, the Participant will pay to the Company (but not less than 10 days after the determination of such Excess Payment and written notice has been delivered to the Participant) the amount of the Excess Payment plus interest at an annual rate equal to the Applicable Federal Rate provided for in Section 1274(d) of the Code from the date the Gross-Up Payment was paid until the date of repayment. The Participant will use reasonable cooperative efforts at the request of the Company to assist in the determination of the amount of any Excess Payment or Underpayment made to the Participant pursuant to this Policy.</w:t>
      </w:r>
    </w:p>
    <w:p>
      <w:pPr>
        <w:spacing w:after="0" w:line="165" w:lineRule="exact"/>
        <w:rPr>
          <w:sz w:val="20"/>
          <w:szCs w:val="20"/>
          <w:color w:val="auto"/>
        </w:rPr>
      </w:pPr>
    </w:p>
    <w:p>
      <w:pPr>
        <w:jc w:val="both"/>
        <w:ind w:right="20" w:firstLine="1296"/>
        <w:spacing w:after="0" w:line="219" w:lineRule="auto"/>
        <w:rPr>
          <w:sz w:val="20"/>
          <w:szCs w:val="20"/>
          <w:color w:val="auto"/>
        </w:rPr>
      </w:pPr>
      <w:r>
        <w:rPr>
          <w:rFonts w:ascii="Arial" w:cs="Arial" w:eastAsia="Arial" w:hAnsi="Arial"/>
          <w:sz w:val="18"/>
          <w:szCs w:val="18"/>
          <w:color w:val="auto"/>
        </w:rPr>
        <w:t>All Gross-Up Payments payable pursuant to this Section 3.1 and any other amounts payable to any Participant pursuant to this Policy in respect of taxes shall be paid to the Participant as soon as practicable after the amount of the relevant tax has been determined and, in any event, no later than December 31 of the year immediately following the year in which the Participant remits the relevant taxes.</w:t>
      </w:r>
    </w:p>
    <w:p>
      <w:pPr>
        <w:spacing w:after="0" w:line="16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6"/>
          <w:szCs w:val="16"/>
          <w:color w:val="auto"/>
        </w:rPr>
        <w:t>The payments and benefits under this Policy are intended to be exempt from, or comply with, Section 409A of the Code, and to the maximum extent permitted this Policy shall be limited, construed and interpreted in accordance with such intent. Except as specifically set forth in Section 3.1 in respect of individuals who were Participants as of the Amendment Date, in no event whatsoever shall the Company or its Affiliates or their respective officers, directors, employees or agents be liable for any additional tax, interest or penalties that may be imposed on a Participant or damages for failing to comply with Section 409A of the Code under this Policy.</w:t>
      </w:r>
    </w:p>
    <w:p>
      <w:pPr>
        <w:spacing w:after="0" w:line="158" w:lineRule="exact"/>
        <w:rPr>
          <w:sz w:val="20"/>
          <w:szCs w:val="20"/>
          <w:color w:val="auto"/>
        </w:rPr>
      </w:pPr>
    </w:p>
    <w:p>
      <w:pPr>
        <w:jc w:val="both"/>
        <w:ind w:right="20" w:firstLine="1296"/>
        <w:spacing w:after="0" w:line="249" w:lineRule="auto"/>
        <w:rPr>
          <w:sz w:val="20"/>
          <w:szCs w:val="20"/>
          <w:color w:val="auto"/>
        </w:rPr>
      </w:pPr>
      <w:r>
        <w:rPr>
          <w:rFonts w:ascii="Arial" w:cs="Arial" w:eastAsia="Arial" w:hAnsi="Arial"/>
          <w:sz w:val="16"/>
          <w:szCs w:val="16"/>
          <w:color w:val="auto"/>
        </w:rPr>
        <w:t>Notwithstanding any other provision of this Policy to the contrary, to the extent that any reimbursement of expenses constitutes nonqualified deferred compensation subject to Section 409A of the Code, such reimbursement shall be provided no later than December 31 of the year following the year in which the expense was incurred (or, where applicable, no later than such earlier time required by this Policy). To the extent required by Section 409A of the Code, (i) the amount of expenses reimbursed in one year shall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12" w:name="page113"/>
    <w:bookmarkEnd w:id="112"/>
    <w:p>
      <w:pPr>
        <w:jc w:val="both"/>
        <w:ind w:right="20"/>
        <w:spacing w:after="0" w:line="224" w:lineRule="auto"/>
        <w:rPr>
          <w:sz w:val="20"/>
          <w:szCs w:val="20"/>
          <w:color w:val="auto"/>
        </w:rPr>
      </w:pPr>
      <w:r>
        <w:rPr>
          <w:rFonts w:ascii="Arial" w:cs="Arial" w:eastAsia="Arial" w:hAnsi="Arial"/>
          <w:sz w:val="18"/>
          <w:szCs w:val="18"/>
          <w:color w:val="auto"/>
        </w:rPr>
        <w:t>not affect the amount eligible for reimbursement in any subsequent year, (ii) the amount of any in-kind benefits provided in one year shall not affect the amount of in-kind benefits provided in any other year and (iii) any right to such reimbursement or in-kind benefits is not subject to liquidation or exchange for another benefit.</w:t>
      </w:r>
    </w:p>
    <w:p>
      <w:pPr>
        <w:spacing w:after="0" w:line="163"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6"/>
          <w:szCs w:val="16"/>
          <w:color w:val="auto"/>
        </w:rPr>
        <w:t>For purposes of Section 409A of the Code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w:t>
      </w:r>
    </w:p>
    <w:p>
      <w:pPr>
        <w:spacing w:after="0" w:line="147"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18"/>
          <w:szCs w:val="18"/>
          <w:color w:val="auto"/>
        </w:rPr>
        <w:t>Notwithstanding any other provision of this Policy to the contrary, if, at the time of a Participant's separation from service (as defined in Section 409A of the Code), the Participant is a “Specified Employee”, then the Company will defer the payment or commencement of any nonqualified deferred compensation subject to Section 409A of the Code payable upon separation from service (without any reduction in such payments or benefits ultimately paid or provided to the Participant) until the date that is six months following separation from service or, if earlier, the earliest other date as is permitted under Section 409A of the Code (and any amounts that otherwise would have been paid during this deferral period will be paid in a lump sum on the day after the expiration of the six-month period or such shorter period, if applicable).</w:t>
      </w:r>
    </w:p>
    <w:p>
      <w:pPr>
        <w:spacing w:after="0" w:line="165" w:lineRule="exact"/>
        <w:rPr>
          <w:sz w:val="20"/>
          <w:szCs w:val="20"/>
          <w:color w:val="auto"/>
        </w:rPr>
      </w:pPr>
    </w:p>
    <w:p>
      <w:pPr>
        <w:jc w:val="both"/>
        <w:ind w:right="20" w:firstLine="1296"/>
        <w:spacing w:after="0" w:line="241" w:lineRule="auto"/>
        <w:rPr>
          <w:sz w:val="20"/>
          <w:szCs w:val="20"/>
          <w:color w:val="auto"/>
        </w:rPr>
      </w:pPr>
      <w:r>
        <w:rPr>
          <w:rFonts w:ascii="Arial" w:cs="Arial" w:eastAsia="Arial" w:hAnsi="Arial"/>
          <w:sz w:val="16"/>
          <w:szCs w:val="16"/>
          <w:color w:val="auto"/>
        </w:rPr>
        <w:t>Notwithstanding anything in this Policy or elsewhere to the contrary, a termination of employment shall not be deemed to have occurred for purposes of any provision of this Policy providing for the payment of any amounts or benefits that constitute nonqualified deferred compensation subject to Section 409A of the Code upon or following a termination of the Participant's employment unless such termination is also a “separation from service” within the meaning of Section 409A of the Code and, for purposes of any such provision of this Policy, references to a “termination,” “termination of employment” or like terms shall mean “separation from service” and the date of such separation from service shall be the date of termination for purposes of any such payment or benefits.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LEGAL FEES AND EXPENSES, ARBITRATION.</w:t>
      </w:r>
    </w:p>
    <w:p>
      <w:pPr>
        <w:spacing w:after="0" w:line="189" w:lineRule="exact"/>
        <w:rPr>
          <w:sz w:val="20"/>
          <w:szCs w:val="20"/>
          <w:color w:val="auto"/>
        </w:rPr>
      </w:pPr>
    </w:p>
    <w:p>
      <w:pPr>
        <w:jc w:val="both"/>
        <w:ind w:right="20" w:firstLine="1296"/>
        <w:spacing w:after="0" w:line="224" w:lineRule="auto"/>
        <w:rPr>
          <w:sz w:val="20"/>
          <w:szCs w:val="20"/>
          <w:color w:val="auto"/>
        </w:rPr>
      </w:pPr>
      <w:r>
        <w:rPr>
          <w:rFonts w:ascii="Arial" w:cs="Arial" w:eastAsia="Arial" w:hAnsi="Arial"/>
          <w:sz w:val="18"/>
          <w:szCs w:val="18"/>
          <w:color w:val="auto"/>
        </w:rPr>
        <w:t>Each party shall pay their own legal fees incurred in connection with any enforcement of rights under this Policy. All disputes arising hereunder shall be subject to arbitration according to the rules of the American Arbitration Association. The Company and the Participant shall share equally in any third party costs of such arbitration.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GOVERNING LAW.</w:t>
      </w:r>
    </w:p>
    <w:p>
      <w:pPr>
        <w:spacing w:after="0" w:line="18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This Policy, the rights and obligations hereunder, and any related claims shall be governed by and construed in accordance with the laws of the State of Ohio.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287" w:right="9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367"/>
        </w:trPr>
        <w:tc>
          <w:tcPr>
            <w:tcW w:w="2520" w:type="dxa"/>
            <w:vAlign w:val="bottom"/>
          </w:tcPr>
          <w:p>
            <w:pPr>
              <w:spacing w:after="0"/>
              <w:rPr>
                <w:sz w:val="24"/>
                <w:szCs w:val="24"/>
                <w:color w:val="auto"/>
              </w:rPr>
            </w:pPr>
          </w:p>
        </w:tc>
        <w:tc>
          <w:tcPr>
            <w:tcW w:w="4460" w:type="dxa"/>
            <w:vAlign w:val="bottom"/>
          </w:tcPr>
          <w:p>
            <w:pPr>
              <w:jc w:val="center"/>
              <w:ind w:left="343"/>
              <w:spacing w:after="0"/>
              <w:rPr>
                <w:sz w:val="20"/>
                <w:szCs w:val="20"/>
                <w:color w:val="auto"/>
              </w:rPr>
            </w:pPr>
            <w:r>
              <w:rPr>
                <w:rFonts w:ascii="Arial" w:cs="Arial" w:eastAsia="Arial" w:hAnsi="Arial"/>
                <w:sz w:val="29"/>
                <w:szCs w:val="29"/>
                <w:color w:val="auto"/>
                <w:w w:val="93"/>
              </w:rPr>
              <w:t>Attachment A</w:t>
            </w:r>
          </w:p>
        </w:tc>
        <w:tc>
          <w:tcPr>
            <w:tcW w:w="0" w:type="dxa"/>
            <w:vAlign w:val="bottom"/>
          </w:tcPr>
          <w:p>
            <w:pPr>
              <w:spacing w:after="0"/>
              <w:rPr>
                <w:sz w:val="1"/>
                <w:szCs w:val="1"/>
                <w:color w:val="auto"/>
              </w:rPr>
            </w:pPr>
          </w:p>
        </w:tc>
      </w:tr>
      <w:tr>
        <w:trPr>
          <w:trHeight w:val="764"/>
        </w:trPr>
        <w:tc>
          <w:tcPr>
            <w:tcW w:w="2520" w:type="dxa"/>
            <w:vAlign w:val="bottom"/>
          </w:tcPr>
          <w:p>
            <w:pPr>
              <w:spacing w:after="0"/>
              <w:rPr>
                <w:sz w:val="24"/>
                <w:szCs w:val="24"/>
                <w:color w:val="auto"/>
              </w:rPr>
            </w:pPr>
          </w:p>
        </w:tc>
        <w:tc>
          <w:tcPr>
            <w:tcW w:w="4460" w:type="dxa"/>
            <w:vAlign w:val="bottom"/>
          </w:tcPr>
          <w:p>
            <w:pPr>
              <w:jc w:val="center"/>
              <w:ind w:left="343"/>
              <w:spacing w:after="0"/>
              <w:rPr>
                <w:sz w:val="20"/>
                <w:szCs w:val="20"/>
                <w:color w:val="auto"/>
              </w:rPr>
            </w:pPr>
            <w:r>
              <w:rPr>
                <w:rFonts w:ascii="Arial" w:cs="Arial" w:eastAsia="Arial" w:hAnsi="Arial"/>
                <w:sz w:val="29"/>
                <w:szCs w:val="29"/>
                <w:color w:val="auto"/>
                <w:w w:val="89"/>
              </w:rPr>
              <w:t>Chemed Corporation</w:t>
            </w:r>
          </w:p>
        </w:tc>
        <w:tc>
          <w:tcPr>
            <w:tcW w:w="0" w:type="dxa"/>
            <w:vAlign w:val="bottom"/>
          </w:tcPr>
          <w:p>
            <w:pPr>
              <w:spacing w:after="0"/>
              <w:rPr>
                <w:sz w:val="1"/>
                <w:szCs w:val="1"/>
                <w:color w:val="auto"/>
              </w:rPr>
            </w:pPr>
          </w:p>
        </w:tc>
      </w:tr>
      <w:tr>
        <w:trPr>
          <w:trHeight w:val="375"/>
        </w:trPr>
        <w:tc>
          <w:tcPr>
            <w:tcW w:w="2520" w:type="dxa"/>
            <w:vAlign w:val="bottom"/>
          </w:tcPr>
          <w:p>
            <w:pPr>
              <w:spacing w:after="0"/>
              <w:rPr>
                <w:sz w:val="24"/>
                <w:szCs w:val="24"/>
                <w:color w:val="auto"/>
              </w:rPr>
            </w:pPr>
          </w:p>
        </w:tc>
        <w:tc>
          <w:tcPr>
            <w:tcW w:w="4460" w:type="dxa"/>
            <w:vAlign w:val="bottom"/>
          </w:tcPr>
          <w:p>
            <w:pPr>
              <w:jc w:val="center"/>
              <w:ind w:left="343"/>
              <w:spacing w:after="0"/>
              <w:rPr>
                <w:sz w:val="20"/>
                <w:szCs w:val="20"/>
                <w:color w:val="auto"/>
              </w:rPr>
            </w:pPr>
            <w:r>
              <w:rPr>
                <w:rFonts w:ascii="Arial" w:cs="Arial" w:eastAsia="Arial" w:hAnsi="Arial"/>
                <w:sz w:val="29"/>
                <w:szCs w:val="29"/>
                <w:b w:val="1"/>
                <w:bCs w:val="1"/>
                <w:color w:val="auto"/>
                <w:w w:val="88"/>
              </w:rPr>
              <w:t>Senior Executive Severance Plan</w:t>
            </w:r>
          </w:p>
        </w:tc>
        <w:tc>
          <w:tcPr>
            <w:tcW w:w="0" w:type="dxa"/>
            <w:vAlign w:val="bottom"/>
          </w:tcPr>
          <w:p>
            <w:pPr>
              <w:spacing w:after="0"/>
              <w:rPr>
                <w:sz w:val="1"/>
                <w:szCs w:val="1"/>
                <w:color w:val="auto"/>
              </w:rPr>
            </w:pPr>
          </w:p>
        </w:tc>
      </w:tr>
      <w:tr>
        <w:trPr>
          <w:trHeight w:val="525"/>
        </w:trPr>
        <w:tc>
          <w:tcPr>
            <w:tcW w:w="2520" w:type="dxa"/>
            <w:vAlign w:val="bottom"/>
          </w:tcPr>
          <w:p>
            <w:pPr>
              <w:spacing w:after="0"/>
              <w:rPr>
                <w:sz w:val="24"/>
                <w:szCs w:val="24"/>
                <w:color w:val="auto"/>
              </w:rPr>
            </w:pPr>
          </w:p>
        </w:tc>
        <w:tc>
          <w:tcPr>
            <w:tcW w:w="4460" w:type="dxa"/>
            <w:vAlign w:val="bottom"/>
          </w:tcPr>
          <w:p>
            <w:pPr>
              <w:jc w:val="center"/>
              <w:ind w:left="323"/>
              <w:spacing w:after="0"/>
              <w:rPr>
                <w:sz w:val="20"/>
                <w:szCs w:val="20"/>
                <w:color w:val="auto"/>
              </w:rPr>
            </w:pPr>
            <w:r>
              <w:rPr>
                <w:rFonts w:ascii="Arial" w:cs="Arial" w:eastAsia="Arial" w:hAnsi="Arial"/>
                <w:sz w:val="25"/>
                <w:szCs w:val="25"/>
                <w:color w:val="auto"/>
                <w:w w:val="91"/>
              </w:rPr>
              <w:t>Participant Designation</w:t>
            </w:r>
          </w:p>
        </w:tc>
        <w:tc>
          <w:tcPr>
            <w:tcW w:w="0" w:type="dxa"/>
            <w:vAlign w:val="bottom"/>
          </w:tcPr>
          <w:p>
            <w:pPr>
              <w:spacing w:after="0"/>
              <w:rPr>
                <w:sz w:val="1"/>
                <w:szCs w:val="1"/>
                <w:color w:val="auto"/>
              </w:rPr>
            </w:pPr>
          </w:p>
        </w:tc>
      </w:tr>
      <w:tr>
        <w:trPr>
          <w:trHeight w:val="370"/>
        </w:trPr>
        <w:tc>
          <w:tcPr>
            <w:tcW w:w="2520" w:type="dxa"/>
            <w:vAlign w:val="bottom"/>
          </w:tcPr>
          <w:p>
            <w:pPr>
              <w:spacing w:after="0"/>
              <w:rPr>
                <w:sz w:val="20"/>
                <w:szCs w:val="20"/>
                <w:color w:val="auto"/>
              </w:rPr>
            </w:pPr>
            <w:r>
              <w:rPr>
                <w:rFonts w:ascii="Arial" w:cs="Arial" w:eastAsia="Arial" w:hAnsi="Arial"/>
                <w:sz w:val="18"/>
                <w:szCs w:val="18"/>
                <w:b w:val="1"/>
                <w:bCs w:val="1"/>
                <w:color w:val="auto"/>
              </w:rPr>
              <w:t>Chemed Headquarters</w:t>
            </w:r>
          </w:p>
        </w:tc>
        <w:tc>
          <w:tcPr>
            <w:tcW w:w="4460" w:type="dxa"/>
            <w:vAlign w:val="bottom"/>
            <w:vMerge w:val="restart"/>
          </w:tcPr>
          <w:p>
            <w:pPr>
              <w:ind w:left="920"/>
              <w:spacing w:after="0"/>
              <w:rPr>
                <w:sz w:val="20"/>
                <w:szCs w:val="20"/>
                <w:color w:val="auto"/>
              </w:rPr>
            </w:pPr>
            <w:r>
              <w:rPr>
                <w:rFonts w:ascii="Arial" w:cs="Arial" w:eastAsia="Arial" w:hAnsi="Arial"/>
                <w:sz w:val="18"/>
                <w:szCs w:val="18"/>
                <w:color w:val="auto"/>
              </w:rPr>
              <w:t>VP and Controller</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M. D. Witzeman</w:t>
            </w:r>
          </w:p>
        </w:tc>
        <w:tc>
          <w:tcPr>
            <w:tcW w:w="4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T. C. Hutton</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L. A. Reinhard</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VP and Chief Administrative Officer</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G. A. Zarick</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B. C. Judkins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VP and Chief Legal Officer</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H. R. Schmidt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VP and Assistant Controller</w:t>
            </w:r>
          </w:p>
        </w:tc>
        <w:tc>
          <w:tcPr>
            <w:tcW w:w="0" w:type="dxa"/>
            <w:vAlign w:val="bottom"/>
          </w:tcPr>
          <w:p>
            <w:pPr>
              <w:spacing w:after="0"/>
              <w:rPr>
                <w:sz w:val="1"/>
                <w:szCs w:val="1"/>
                <w:color w:val="auto"/>
              </w:rPr>
            </w:pPr>
          </w:p>
        </w:tc>
      </w:tr>
      <w:tr>
        <w:trPr>
          <w:trHeight w:val="230"/>
        </w:trPr>
        <w:tc>
          <w:tcPr>
            <w:tcW w:w="2520" w:type="dxa"/>
            <w:vAlign w:val="bottom"/>
          </w:tcPr>
          <w:p>
            <w:pPr>
              <w:ind w:left="660"/>
              <w:spacing w:after="0"/>
              <w:rPr>
                <w:sz w:val="20"/>
                <w:szCs w:val="20"/>
                <w:color w:val="auto"/>
              </w:rPr>
            </w:pPr>
            <w:r>
              <w:rPr>
                <w:rFonts w:ascii="Arial" w:cs="Arial" w:eastAsia="Arial" w:hAnsi="Arial"/>
                <w:sz w:val="18"/>
                <w:szCs w:val="18"/>
                <w:color w:val="auto"/>
              </w:rPr>
              <w:t>N. J. McNamara (a)</w:t>
            </w:r>
          </w:p>
        </w:tc>
        <w:tc>
          <w:tcPr>
            <w:tcW w:w="4460" w:type="dxa"/>
            <w:vAlign w:val="bottom"/>
          </w:tcPr>
          <w:p>
            <w:pPr>
              <w:ind w:left="920"/>
              <w:spacing w:after="0"/>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0"/>
                <w:szCs w:val="20"/>
                <w:color w:val="auto"/>
              </w:rPr>
            </w:pPr>
            <w:r>
              <w:rPr>
                <w:rFonts w:ascii="Arial" w:cs="Arial" w:eastAsia="Arial" w:hAnsi="Arial"/>
                <w:sz w:val="18"/>
                <w:szCs w:val="18"/>
                <w:b w:val="1"/>
                <w:bCs w:val="1"/>
                <w:color w:val="auto"/>
              </w:rPr>
              <w:t>Vitas Headquarters</w:t>
            </w:r>
          </w:p>
        </w:tc>
        <w:tc>
          <w:tcPr>
            <w:tcW w:w="4460" w:type="dxa"/>
            <w:vAlign w:val="bottom"/>
            <w:vMerge w:val="restart"/>
          </w:tcPr>
          <w:p>
            <w:pPr>
              <w:ind w:left="9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N. M. Westfall</w:t>
            </w:r>
          </w:p>
        </w:tc>
        <w:tc>
          <w:tcPr>
            <w:tcW w:w="4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P. Hale</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and Chief Information Officer</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J. Wherley</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and Chief Operating Officer</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P. Husted</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Operations</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R. C. Miller</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and Chief Compliance Officer</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J. Kreger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and Chief Financial Officer</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D. Psaras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w w:val="96"/>
              </w:rPr>
              <w:t>Executive VP Chief Human Resources Officer</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J. Shega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Chief Medical Officer</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B. Stock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Senior VP Strategy and Innovation</w:t>
            </w:r>
          </w:p>
        </w:tc>
        <w:tc>
          <w:tcPr>
            <w:tcW w:w="0" w:type="dxa"/>
            <w:vAlign w:val="bottom"/>
          </w:tcPr>
          <w:p>
            <w:pPr>
              <w:spacing w:after="0"/>
              <w:rPr>
                <w:sz w:val="1"/>
                <w:szCs w:val="1"/>
                <w:color w:val="auto"/>
              </w:rPr>
            </w:pPr>
          </w:p>
        </w:tc>
      </w:tr>
      <w:tr>
        <w:trPr>
          <w:trHeight w:val="230"/>
        </w:trPr>
        <w:tc>
          <w:tcPr>
            <w:tcW w:w="2520" w:type="dxa"/>
            <w:vAlign w:val="bottom"/>
          </w:tcPr>
          <w:p>
            <w:pPr>
              <w:ind w:left="660"/>
              <w:spacing w:after="0"/>
              <w:rPr>
                <w:sz w:val="20"/>
                <w:szCs w:val="20"/>
                <w:color w:val="auto"/>
              </w:rPr>
            </w:pPr>
            <w:r>
              <w:rPr>
                <w:rFonts w:ascii="Arial" w:cs="Arial" w:eastAsia="Arial" w:hAnsi="Arial"/>
                <w:sz w:val="18"/>
                <w:szCs w:val="18"/>
                <w:color w:val="auto"/>
              </w:rPr>
              <w:t>B. Wysong (a)</w:t>
            </w:r>
          </w:p>
        </w:tc>
        <w:tc>
          <w:tcPr>
            <w:tcW w:w="4460" w:type="dxa"/>
            <w:vAlign w:val="bottom"/>
          </w:tcPr>
          <w:p>
            <w:pPr>
              <w:ind w:left="920"/>
              <w:spacing w:after="0"/>
              <w:rPr>
                <w:sz w:val="20"/>
                <w:szCs w:val="20"/>
                <w:color w:val="auto"/>
              </w:rPr>
            </w:pPr>
            <w:r>
              <w:rPr>
                <w:rFonts w:ascii="Arial" w:cs="Arial" w:eastAsia="Arial" w:hAnsi="Arial"/>
                <w:sz w:val="18"/>
                <w:szCs w:val="18"/>
                <w:color w:val="auto"/>
              </w:rPr>
              <w:t>Senior VP Operational Performance</w:t>
            </w: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0"/>
                <w:szCs w:val="20"/>
                <w:color w:val="auto"/>
              </w:rPr>
            </w:pPr>
            <w:r>
              <w:rPr>
                <w:rFonts w:ascii="Arial" w:cs="Arial" w:eastAsia="Arial" w:hAnsi="Arial"/>
                <w:sz w:val="18"/>
                <w:szCs w:val="18"/>
                <w:b w:val="1"/>
                <w:bCs w:val="1"/>
                <w:color w:val="auto"/>
              </w:rPr>
              <w:t>Roto-Rooter Headquarters</w:t>
            </w:r>
          </w:p>
        </w:tc>
        <w:tc>
          <w:tcPr>
            <w:tcW w:w="4460" w:type="dxa"/>
            <w:vAlign w:val="bottom"/>
            <w:vMerge w:val="restart"/>
          </w:tcPr>
          <w:p>
            <w:pPr>
              <w:ind w:left="9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76"/>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S. S. Lee</w:t>
            </w:r>
          </w:p>
        </w:tc>
        <w:tc>
          <w:tcPr>
            <w:tcW w:w="4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R. P. Goldschmidt</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M. A. Conners</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Executive VP - Contractors</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K. M. Aielli</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Vice President – Finance</w:t>
            </w:r>
          </w:p>
        </w:tc>
        <w:tc>
          <w:tcPr>
            <w:tcW w:w="0" w:type="dxa"/>
            <w:vAlign w:val="bottom"/>
          </w:tcPr>
          <w:p>
            <w:pPr>
              <w:spacing w:after="0"/>
              <w:rPr>
                <w:sz w:val="1"/>
                <w:szCs w:val="1"/>
                <w:color w:val="auto"/>
              </w:rPr>
            </w:pPr>
          </w:p>
        </w:tc>
      </w:tr>
      <w:tr>
        <w:trPr>
          <w:trHeight w:val="175"/>
        </w:trPr>
        <w:tc>
          <w:tcPr>
            <w:tcW w:w="2520" w:type="dxa"/>
            <w:vAlign w:val="bottom"/>
          </w:tcPr>
          <w:p>
            <w:pPr>
              <w:ind w:left="660"/>
              <w:spacing w:after="0" w:line="176" w:lineRule="exact"/>
              <w:rPr>
                <w:sz w:val="20"/>
                <w:szCs w:val="20"/>
                <w:color w:val="auto"/>
              </w:rPr>
            </w:pPr>
            <w:r>
              <w:rPr>
                <w:rFonts w:ascii="Arial" w:cs="Arial" w:eastAsia="Arial" w:hAnsi="Arial"/>
                <w:sz w:val="18"/>
                <w:szCs w:val="18"/>
                <w:color w:val="auto"/>
              </w:rPr>
              <w:t>S. Ratterman (a)</w:t>
            </w:r>
          </w:p>
        </w:tc>
        <w:tc>
          <w:tcPr>
            <w:tcW w:w="4460" w:type="dxa"/>
            <w:vAlign w:val="bottom"/>
          </w:tcPr>
          <w:p>
            <w:pPr>
              <w:ind w:left="920"/>
              <w:spacing w:after="0" w:line="176" w:lineRule="exact"/>
              <w:rPr>
                <w:sz w:val="20"/>
                <w:szCs w:val="20"/>
                <w:color w:val="auto"/>
              </w:rPr>
            </w:pPr>
            <w:r>
              <w:rPr>
                <w:rFonts w:ascii="Arial" w:cs="Arial" w:eastAsia="Arial" w:hAnsi="Arial"/>
                <w:sz w:val="18"/>
                <w:szCs w:val="18"/>
                <w:color w:val="auto"/>
              </w:rPr>
              <w:t>Vice President – Financial Operations</w:t>
            </w:r>
          </w:p>
        </w:tc>
        <w:tc>
          <w:tcPr>
            <w:tcW w:w="0" w:type="dxa"/>
            <w:vAlign w:val="bottom"/>
          </w:tcPr>
          <w:p>
            <w:pPr>
              <w:spacing w:after="0"/>
              <w:rPr>
                <w:sz w:val="1"/>
                <w:szCs w:val="1"/>
                <w:color w:val="auto"/>
              </w:rPr>
            </w:pPr>
          </w:p>
        </w:tc>
      </w:tr>
      <w:tr>
        <w:trPr>
          <w:trHeight w:val="230"/>
        </w:trPr>
        <w:tc>
          <w:tcPr>
            <w:tcW w:w="2520" w:type="dxa"/>
            <w:vAlign w:val="bottom"/>
          </w:tcPr>
          <w:p>
            <w:pPr>
              <w:ind w:left="660"/>
              <w:spacing w:after="0"/>
              <w:rPr>
                <w:sz w:val="20"/>
                <w:szCs w:val="20"/>
                <w:color w:val="auto"/>
              </w:rPr>
            </w:pPr>
            <w:r>
              <w:rPr>
                <w:rFonts w:ascii="Arial" w:cs="Arial" w:eastAsia="Arial" w:hAnsi="Arial"/>
                <w:sz w:val="18"/>
                <w:szCs w:val="18"/>
                <w:color w:val="auto"/>
              </w:rPr>
              <w:t>M. Polyak (a)</w:t>
            </w:r>
          </w:p>
        </w:tc>
        <w:tc>
          <w:tcPr>
            <w:tcW w:w="4460" w:type="dxa"/>
            <w:vAlign w:val="bottom"/>
          </w:tcPr>
          <w:p>
            <w:pPr>
              <w:ind w:left="920"/>
              <w:spacing w:after="0"/>
              <w:rPr>
                <w:sz w:val="20"/>
                <w:szCs w:val="20"/>
                <w:color w:val="auto"/>
              </w:rPr>
            </w:pPr>
            <w:r>
              <w:rPr>
                <w:rFonts w:ascii="Arial" w:cs="Arial" w:eastAsia="Arial" w:hAnsi="Arial"/>
                <w:sz w:val="18"/>
                <w:szCs w:val="18"/>
                <w:color w:val="auto"/>
              </w:rPr>
              <w:t>Senior Vice President – Operations</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 xml:space="preserve">Denotes Participates Designation added to the Plan </w:t>
      </w:r>
      <w:r>
        <w:rPr>
          <w:rFonts w:ascii="Arial" w:cs="Arial" w:eastAsia="Arial" w:hAnsi="Arial"/>
          <w:sz w:val="20"/>
          <w:szCs w:val="20"/>
          <w:b w:val="1"/>
          <w:bCs w:val="1"/>
          <w:i w:val="1"/>
          <w:iCs w:val="1"/>
          <w:color w:val="auto"/>
        </w:rPr>
        <w:t>After</w:t>
      </w:r>
      <w:r>
        <w:rPr>
          <w:rFonts w:ascii="Arial" w:cs="Arial" w:eastAsia="Arial" w:hAnsi="Arial"/>
          <w:sz w:val="20"/>
          <w:szCs w:val="20"/>
          <w:color w:val="auto"/>
        </w:rPr>
        <w:t xml:space="preserve"> August 3, 2018 Plan Amendment which eliminated gross-up payments for excise taxes for future participants, as approved by the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64" w:right="99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4"/>
          <w:szCs w:val="14"/>
          <w:b w:val="1"/>
          <w:bCs w:val="1"/>
          <w:u w:val="single" w:color="auto"/>
          <w:color w:val="auto"/>
        </w:rPr>
        <w:t>EXHIBIT 21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SUBSIDIARIES OF CHEMED CORPORATION</w:t>
      </w:r>
    </w:p>
    <w:p>
      <w:pPr>
        <w:spacing w:after="0" w:line="1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3"/>
          <w:szCs w:val="13"/>
          <w:color w:val="auto"/>
        </w:rPr>
        <w:t>The following is a list of subsidiaries of the Company as of December 31, 2021: Other subsidiaries which have been omitted from the list would not, when considered in the aggregate, constitute a significant subsidiary. Each of the companies is incorporated under the laws of the state following its name. The percentage given for each company represents the percentage of voting securities of such company owned by the Company or, where indicated, subsidiaries of the Company as of December 31, 2021.</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All of the majority owned companies listed below are included in the consolidated financial statements as of December 31, 2021.</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Chemed RT, Inc. (Delaware, 100%)</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Comfort Care Holdings Co. (Nevada, 100%)</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Consolidated HVAC, Inc. (Ohio, 100% by Roto-Rooter Services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Jet Resource, Inc. (Delaware, 100%)</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Nurotoco of Massachusetts, Inc. (Massachusetts, 100% by Roto-Rooter Services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Nurotoco of Massachusetts, Inc. II (Massachusetts, 100% by Roto-Rooter Services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Nurotoco of Massachusetts, Inc. III (Massachusetts, 100% by Roto-Rooter Services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Nurotoco of New Jersey, Inc. (Delaware, 80% by Roto-Rooter Services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Roto RT, Inc. (Delaware, 100% by Roto-Rooter Group, Inc.)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Roto-Rooter Canada, Ltd. (British Columbia, 100% by Roto-Rooter Services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Roto-Rooter Corporation (Iowa, 100% by Roto-Rooter Group, Inc.)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Roto-Rooter Group, Inc. (Delaware, 100%)</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Roto-Rooter Services Company (Iowa, 100% by Roto-Rooter Group, Inc.)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RRSC of Arizona, Inc. (Delaware, 75% owned by Roto-Rooter Services Company)</w:t>
      </w:r>
    </w:p>
    <w:p>
      <w:pPr>
        <w:spacing w:after="0" w:line="109" w:lineRule="exact"/>
        <w:rPr>
          <w:sz w:val="20"/>
          <w:szCs w:val="20"/>
          <w:color w:val="auto"/>
        </w:rPr>
      </w:pPr>
    </w:p>
    <w:p>
      <w:pPr>
        <w:ind w:left="660" w:right="580" w:hanging="6"/>
        <w:spacing w:after="0" w:line="236" w:lineRule="auto"/>
        <w:tabs>
          <w:tab w:leader="none" w:pos="8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Plumbing Services Corporation (New York, 49% by Roto-Rooter Services Company; included within the consolidated financial statements as a consolidated subsidiary)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(Delaware, 100% by Comfort Care Holdings Co.)</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Hospice Services, L.L.C. (Delaware, 100% by VITAS Healthcare Corporation)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of California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of Illinois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of Florida (Florida,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of Ohio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of Atlantic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of Texas, L.P. (Texas, 99% by VITAS Holding Corporation, the limited partner, 1% by VITAS Hospice Services, L.L.C., the general partner)</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Midwest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Healthcare Corporation of Georgia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HME Solutions, Inc.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Holdings Corporation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RT, Inc. (Delaware, 100% by VITAS Hospice Services, L.L.C.)</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VITAS Solutions, Inc. (Delaware, 100% by VITAS Hospice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968375</wp:posOffset>
            </wp:positionV>
            <wp:extent cx="669480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6694805" cy="50800"/>
                    </a:xfrm>
                    <a:prstGeom prst="rect">
                      <a:avLst/>
                    </a:prstGeom>
                    <a:noFill/>
                  </pic:spPr>
                </pic:pic>
              </a:graphicData>
            </a:graphic>
          </wp:anchor>
        </w:drawing>
      </w:r>
    </w:p>
    <w:p>
      <w:pPr>
        <w:sectPr>
          <w:pgSz w:w="11900" w:h="16838" w:orient="portrait"/>
          <w:cols w:equalWidth="0" w:num="1">
            <w:col w:w="10480"/>
          </w:cols>
          <w:pgMar w:left="700" w:top="279" w:right="7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333-167733, 333-205669 and 333-225130) of Chemed Corporation of our report dated February 28, 2022 relating to the financial statements and the effectiveness of internal control over financial reporting, which appears in the 2021 Annual Report to Shareholders, which is incorporated by reference in this Annual Report on Form 10-K.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rPr>
          <w:sz w:val="20"/>
          <w:szCs w:val="20"/>
          <w:color w:val="auto"/>
        </w:rPr>
      </w:pPr>
      <w:r>
        <w:rPr>
          <w:rFonts w:ascii="Arial" w:cs="Arial" w:eastAsia="Arial" w:hAnsi="Arial"/>
          <w:sz w:val="18"/>
          <w:szCs w:val="18"/>
          <w:color w:val="auto"/>
        </w:rPr>
        <w:t>Cincinnati, Ohio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327660</wp:posOffset>
            </wp:positionV>
            <wp:extent cx="635190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EXHIBIT 24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Joel F. Gemunder</w:t>
      </w:r>
    </w:p>
    <w:p>
      <w:pPr>
        <w:ind w:left="5080"/>
        <w:spacing w:after="0"/>
        <w:rPr>
          <w:sz w:val="20"/>
          <w:szCs w:val="20"/>
          <w:color w:val="auto"/>
        </w:rPr>
      </w:pPr>
      <w:r>
        <w:rPr>
          <w:rFonts w:ascii="Arial" w:cs="Arial" w:eastAsia="Arial" w:hAnsi="Arial"/>
          <w:sz w:val="18"/>
          <w:szCs w:val="18"/>
          <w:color w:val="auto"/>
        </w:rPr>
        <w:t>Joel F. Gemunder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223520</wp:posOffset>
            </wp:positionV>
            <wp:extent cx="635190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Patrick P. Grace</w:t>
      </w:r>
    </w:p>
    <w:p>
      <w:pPr>
        <w:ind w:left="5080"/>
        <w:spacing w:after="0"/>
        <w:rPr>
          <w:sz w:val="20"/>
          <w:szCs w:val="20"/>
          <w:color w:val="auto"/>
        </w:rPr>
      </w:pPr>
      <w:r>
        <w:rPr>
          <w:rFonts w:ascii="Arial" w:cs="Arial" w:eastAsia="Arial" w:hAnsi="Arial"/>
          <w:sz w:val="18"/>
          <w:szCs w:val="18"/>
          <w:color w:val="auto"/>
        </w:rPr>
        <w:t>Patrick P. Grace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514985</wp:posOffset>
            </wp:positionV>
            <wp:extent cx="6351905"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Thomas C. Hutton</w:t>
      </w:r>
    </w:p>
    <w:p>
      <w:pPr>
        <w:ind w:left="5080"/>
        <w:spacing w:after="0"/>
        <w:rPr>
          <w:sz w:val="20"/>
          <w:szCs w:val="20"/>
          <w:color w:val="auto"/>
        </w:rPr>
      </w:pPr>
      <w:r>
        <w:rPr>
          <w:rFonts w:ascii="Arial" w:cs="Arial" w:eastAsia="Arial" w:hAnsi="Arial"/>
          <w:sz w:val="18"/>
          <w:szCs w:val="18"/>
          <w:color w:val="auto"/>
        </w:rPr>
        <w:t>Thomas C.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514985</wp:posOffset>
            </wp:positionV>
            <wp:extent cx="635190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Thomas P. Rice</w:t>
      </w:r>
    </w:p>
    <w:p>
      <w:pPr>
        <w:ind w:left="5080"/>
        <w:spacing w:after="0"/>
        <w:rPr>
          <w:sz w:val="20"/>
          <w:szCs w:val="20"/>
          <w:color w:val="auto"/>
        </w:rPr>
      </w:pPr>
      <w:r>
        <w:rPr>
          <w:rFonts w:ascii="Arial" w:cs="Arial" w:eastAsia="Arial" w:hAnsi="Arial"/>
          <w:sz w:val="18"/>
          <w:szCs w:val="18"/>
          <w:color w:val="auto"/>
        </w:rPr>
        <w:t>Thomas P.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514985</wp:posOffset>
            </wp:positionV>
            <wp:extent cx="635190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Donald E. Saunders</w:t>
      </w:r>
    </w:p>
    <w:p>
      <w:pPr>
        <w:ind w:left="5080"/>
        <w:spacing w:after="0"/>
        <w:rPr>
          <w:sz w:val="20"/>
          <w:szCs w:val="20"/>
          <w:color w:val="auto"/>
        </w:rPr>
      </w:pPr>
      <w:r>
        <w:rPr>
          <w:rFonts w:ascii="Arial" w:cs="Arial" w:eastAsia="Arial" w:hAnsi="Arial"/>
          <w:sz w:val="18"/>
          <w:szCs w:val="18"/>
          <w:color w:val="auto"/>
        </w:rPr>
        <w:t>Donald E.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514985</wp:posOffset>
            </wp:positionV>
            <wp:extent cx="635190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George J. Walsh III</w:t>
      </w:r>
    </w:p>
    <w:p>
      <w:pPr>
        <w:ind w:left="5080"/>
        <w:spacing w:after="0"/>
        <w:rPr>
          <w:sz w:val="20"/>
          <w:szCs w:val="20"/>
          <w:color w:val="auto"/>
        </w:rPr>
      </w:pPr>
      <w:r>
        <w:rPr>
          <w:rFonts w:ascii="Arial" w:cs="Arial" w:eastAsia="Arial" w:hAnsi="Arial"/>
          <w:sz w:val="18"/>
          <w:szCs w:val="18"/>
          <w:color w:val="auto"/>
        </w:rPr>
        <w:t>George J. Walsh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514985</wp:posOffset>
            </wp:positionV>
            <wp:extent cx="635190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2022</w:t>
      </w:r>
    </w:p>
    <w:p>
      <w:pPr>
        <w:spacing w:after="0" w:line="15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Christopher J.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-635</wp:posOffset>
            </wp:positionV>
            <wp:extent cx="31546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Christopher J.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523240</wp:posOffset>
            </wp:positionV>
            <wp:extent cx="635190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15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Ron DeLyons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-635</wp:posOffset>
            </wp:positionV>
            <wp:extent cx="3154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Ron DeLyons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523240</wp:posOffset>
            </wp:positionV>
            <wp:extent cx="6351905"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89" w:lineRule="exact"/>
        <w:rPr>
          <w:sz w:val="20"/>
          <w:szCs w:val="20"/>
          <w:color w:val="auto"/>
        </w:rPr>
      </w:pPr>
      <w:r>
        <w:rPr>
          <w:rFonts w:ascii="Arial" w:cs="Arial" w:eastAsia="Arial" w:hAnsi="Arial"/>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and all amendments thereto, to be filed with the Securities and Exchange Commission. Each of such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is appointed with full power to act without the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Andrea R. Lindell</w:t>
      </w:r>
    </w:p>
    <w:p>
      <w:pPr>
        <w:ind w:left="5080"/>
        <w:spacing w:after="0"/>
        <w:rPr>
          <w:sz w:val="20"/>
          <w:szCs w:val="20"/>
          <w:color w:val="auto"/>
        </w:rPr>
      </w:pPr>
      <w:r>
        <w:rPr>
          <w:rFonts w:ascii="Arial" w:cs="Arial" w:eastAsia="Arial" w:hAnsi="Arial"/>
          <w:sz w:val="18"/>
          <w:szCs w:val="18"/>
          <w:color w:val="auto"/>
        </w:rPr>
        <w:t>Andrea R. Lindell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514985</wp:posOffset>
            </wp:positionV>
            <wp:extent cx="635190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283" w:right="999" w:bottom="1440" w:gutter="0" w:footer="0" w:header="0"/>
        </w:sectPr>
      </w:pPr>
    </w:p>
    <w:bookmarkStart w:id="125" w:name="page126"/>
    <w:bookmarkEnd w:id="125"/>
    <w:p>
      <w:pPr>
        <w:ind w:left="4404"/>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024"/>
        <w:spacing w:after="0"/>
        <w:rPr>
          <w:sz w:val="20"/>
          <w:szCs w:val="20"/>
          <w:color w:val="auto"/>
        </w:rPr>
      </w:pPr>
      <w:r>
        <w:rPr>
          <w:rFonts w:ascii="Arial" w:cs="Arial" w:eastAsia="Arial" w:hAnsi="Arial"/>
          <w:sz w:val="18"/>
          <w:szCs w:val="18"/>
          <w:b w:val="1"/>
          <w:bCs w:val="1"/>
          <w:color w:val="auto"/>
        </w:rPr>
        <w:t>CERTIFICATION PURSUANT TO RULES 13a-14(a)/15d-14(a) OF THE EXCHANGE ACT OF 1934</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I, Kevin J. McNamara, certify that:</w:t>
      </w:r>
    </w:p>
    <w:p>
      <w:pPr>
        <w:spacing w:after="0" w:line="144" w:lineRule="exact"/>
        <w:rPr>
          <w:sz w:val="20"/>
          <w:szCs w:val="20"/>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Chemed Corporation (“registrant”);</w:t>
      </w:r>
    </w:p>
    <w:p>
      <w:pPr>
        <w:spacing w:after="0" w:line="144" w:lineRule="exact"/>
        <w:rPr>
          <w:rFonts w:ascii="Arial" w:cs="Arial" w:eastAsia="Arial" w:hAnsi="Arial"/>
          <w:sz w:val="18"/>
          <w:szCs w:val="18"/>
          <w:color w:val="auto"/>
        </w:rPr>
      </w:pPr>
    </w:p>
    <w:p>
      <w:pPr>
        <w:ind w:left="4" w:right="120" w:hanging="4"/>
        <w:spacing w:after="0" w:line="224"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4" w:right="60" w:hanging="4"/>
        <w:spacing w:after="0" w:line="224"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22" w:lineRule="exact"/>
        <w:rPr>
          <w:rFonts w:ascii="Arial" w:cs="Arial" w:eastAsia="Arial" w:hAnsi="Arial"/>
          <w:sz w:val="18"/>
          <w:szCs w:val="18"/>
          <w:color w:val="auto"/>
        </w:rPr>
      </w:pPr>
    </w:p>
    <w:p>
      <w:pPr>
        <w:ind w:left="4" w:right="40" w:hanging="4"/>
        <w:spacing w:after="0" w:line="239" w:lineRule="auto"/>
        <w:tabs>
          <w:tab w:leader="none" w:pos="27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w:t>
      </w:r>
    </w:p>
    <w:p>
      <w:pPr>
        <w:ind w:left="4"/>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8" w:lineRule="exact"/>
        <w:rPr>
          <w:rFonts w:ascii="Arial" w:cs="Arial" w:eastAsia="Arial" w:hAnsi="Arial"/>
          <w:sz w:val="16"/>
          <w:szCs w:val="16"/>
          <w:color w:val="auto"/>
        </w:rPr>
      </w:pPr>
    </w:p>
    <w:p>
      <w:pPr>
        <w:ind w:left="4" w:firstLine="644"/>
        <w:spacing w:after="0" w:line="237" w:lineRule="auto"/>
        <w:tabs>
          <w:tab w:leader="none" w:pos="97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22" w:lineRule="exact"/>
        <w:rPr>
          <w:rFonts w:ascii="Arial" w:cs="Arial" w:eastAsia="Arial" w:hAnsi="Arial"/>
          <w:sz w:val="17"/>
          <w:szCs w:val="17"/>
          <w:color w:val="auto"/>
        </w:rPr>
      </w:pPr>
    </w:p>
    <w:p>
      <w:pPr>
        <w:ind w:left="4" w:right="300" w:firstLine="644"/>
        <w:spacing w:after="0" w:line="237" w:lineRule="auto"/>
        <w:tabs>
          <w:tab w:leader="none" w:pos="98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left="4" w:right="80" w:firstLine="644"/>
        <w:spacing w:after="0" w:line="224" w:lineRule="auto"/>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4" w:right="60" w:firstLine="644"/>
        <w:spacing w:after="0" w:line="237" w:lineRule="auto"/>
        <w:tabs>
          <w:tab w:leader="none" w:pos="98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left="4" w:right="120" w:hanging="4"/>
        <w:spacing w:after="0" w:line="224"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2" w:lineRule="exact"/>
        <w:rPr>
          <w:rFonts w:ascii="Arial" w:cs="Arial" w:eastAsia="Arial" w:hAnsi="Arial"/>
          <w:sz w:val="18"/>
          <w:szCs w:val="18"/>
          <w:color w:val="auto"/>
        </w:rPr>
      </w:pPr>
    </w:p>
    <w:p>
      <w:pPr>
        <w:ind w:left="4" w:right="20" w:firstLine="644"/>
        <w:spacing w:after="0" w:line="289" w:lineRule="auto"/>
        <w:tabs>
          <w:tab w:leader="none" w:pos="9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4" w:right="560" w:firstLine="644"/>
        <w:spacing w:after="0" w:line="235" w:lineRule="auto"/>
        <w:tabs>
          <w:tab w:leader="none" w:pos="9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28, 2022</w:t>
      </w:r>
    </w:p>
    <w:p>
      <w:pPr>
        <w:spacing w:after="0" w:line="129" w:lineRule="exact"/>
        <w:rPr>
          <w:sz w:val="20"/>
          <w:szCs w:val="20"/>
          <w:color w:val="auto"/>
        </w:rPr>
      </w:pPr>
    </w:p>
    <w:p>
      <w:pPr>
        <w:ind w:left="5084"/>
        <w:spacing w:after="0"/>
        <w:rPr>
          <w:sz w:val="20"/>
          <w:szCs w:val="20"/>
          <w:color w:val="auto"/>
        </w:rPr>
      </w:pPr>
      <w:r>
        <w:rPr>
          <w:rFonts w:ascii="Arial" w:cs="Arial" w:eastAsia="Arial" w:hAnsi="Arial"/>
          <w:sz w:val="18"/>
          <w:szCs w:val="18"/>
          <w:u w:val="single" w:color="auto"/>
          <w:color w:val="auto"/>
        </w:rPr>
        <w:t>/s/ Kevin J. McNamara</w:t>
      </w:r>
    </w:p>
    <w:p>
      <w:pPr>
        <w:ind w:left="5084"/>
        <w:spacing w:after="0" w:line="203" w:lineRule="auto"/>
        <w:rPr>
          <w:sz w:val="20"/>
          <w:szCs w:val="20"/>
          <w:color w:val="auto"/>
        </w:rPr>
      </w:pPr>
      <w:r>
        <w:rPr>
          <w:rFonts w:ascii="Arial" w:cs="Arial" w:eastAsia="Arial" w:hAnsi="Arial"/>
          <w:sz w:val="18"/>
          <w:szCs w:val="18"/>
          <w:color w:val="auto"/>
        </w:rPr>
        <w:t>Kevin J. McNamara</w:t>
      </w:r>
    </w:p>
    <w:p>
      <w:pPr>
        <w:ind w:left="5084"/>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4"/>
          </w:cols>
          <w:pgMar w:left="976" w:top="108" w:right="1039" w:bottom="1440" w:gutter="0" w:footer="0" w:header="0"/>
        </w:sectPr>
      </w:pPr>
    </w:p>
    <w:bookmarkStart w:id="126" w:name="page127"/>
    <w:bookmarkEnd w:id="126"/>
    <w:p>
      <w:pPr>
        <w:ind w:left="4404"/>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024"/>
        <w:spacing w:after="0"/>
        <w:rPr>
          <w:sz w:val="20"/>
          <w:szCs w:val="20"/>
          <w:color w:val="auto"/>
        </w:rPr>
      </w:pPr>
      <w:r>
        <w:rPr>
          <w:rFonts w:ascii="Arial" w:cs="Arial" w:eastAsia="Arial" w:hAnsi="Arial"/>
          <w:sz w:val="18"/>
          <w:szCs w:val="18"/>
          <w:b w:val="1"/>
          <w:bCs w:val="1"/>
          <w:color w:val="auto"/>
        </w:rPr>
        <w:t>CERTIFICATION PURSUANT TO RULES 13a-14(a)/15d-14(a) OF THE EXCHANGE ACT OF 1934</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David P. Williams, certify that:</w:t>
      </w:r>
    </w:p>
    <w:p>
      <w:pPr>
        <w:spacing w:after="0" w:line="144" w:lineRule="exact"/>
        <w:rPr>
          <w:sz w:val="20"/>
          <w:szCs w:val="20"/>
          <w:color w:val="auto"/>
        </w:rPr>
      </w:pPr>
    </w:p>
    <w:p>
      <w:pPr>
        <w:ind w:left="324" w:hanging="324"/>
        <w:spacing w:after="0"/>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Chemed Corporation (“registrant”);</w:t>
      </w:r>
    </w:p>
    <w:p>
      <w:pPr>
        <w:spacing w:after="0" w:line="144" w:lineRule="exact"/>
        <w:rPr>
          <w:rFonts w:ascii="Arial" w:cs="Arial" w:eastAsia="Arial" w:hAnsi="Arial"/>
          <w:sz w:val="18"/>
          <w:szCs w:val="18"/>
          <w:color w:val="auto"/>
        </w:rPr>
      </w:pPr>
    </w:p>
    <w:p>
      <w:pPr>
        <w:ind w:left="4" w:right="120" w:hanging="4"/>
        <w:spacing w:after="0" w:line="224"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4" w:right="60" w:hanging="4"/>
        <w:spacing w:after="0" w:line="224"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22" w:lineRule="exact"/>
        <w:rPr>
          <w:rFonts w:ascii="Arial" w:cs="Arial" w:eastAsia="Arial" w:hAnsi="Arial"/>
          <w:sz w:val="18"/>
          <w:szCs w:val="18"/>
          <w:color w:val="auto"/>
        </w:rPr>
      </w:pPr>
    </w:p>
    <w:p>
      <w:pPr>
        <w:ind w:left="4" w:right="40" w:hanging="4"/>
        <w:spacing w:after="0" w:line="239" w:lineRule="auto"/>
        <w:tabs>
          <w:tab w:leader="none" w:pos="27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w:t>
      </w:r>
    </w:p>
    <w:p>
      <w:pPr>
        <w:ind w:left="4"/>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8" w:lineRule="exact"/>
        <w:rPr>
          <w:rFonts w:ascii="Arial" w:cs="Arial" w:eastAsia="Arial" w:hAnsi="Arial"/>
          <w:sz w:val="16"/>
          <w:szCs w:val="16"/>
          <w:color w:val="auto"/>
        </w:rPr>
      </w:pPr>
    </w:p>
    <w:p>
      <w:pPr>
        <w:ind w:left="4" w:firstLine="644"/>
        <w:spacing w:after="0" w:line="237" w:lineRule="auto"/>
        <w:tabs>
          <w:tab w:leader="none" w:pos="97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22" w:lineRule="exact"/>
        <w:rPr>
          <w:rFonts w:ascii="Arial" w:cs="Arial" w:eastAsia="Arial" w:hAnsi="Arial"/>
          <w:sz w:val="17"/>
          <w:szCs w:val="17"/>
          <w:color w:val="auto"/>
        </w:rPr>
      </w:pPr>
    </w:p>
    <w:p>
      <w:pPr>
        <w:ind w:left="4" w:right="300" w:firstLine="644"/>
        <w:spacing w:after="0" w:line="237" w:lineRule="auto"/>
        <w:tabs>
          <w:tab w:leader="none" w:pos="98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left="4" w:right="80" w:firstLine="644"/>
        <w:spacing w:after="0" w:line="224" w:lineRule="auto"/>
        <w:tabs>
          <w:tab w:leader="none" w:pos="9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4" w:right="60" w:firstLine="644"/>
        <w:spacing w:after="0" w:line="237" w:lineRule="auto"/>
        <w:tabs>
          <w:tab w:leader="none" w:pos="98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left="4" w:right="120" w:hanging="4"/>
        <w:spacing w:after="0" w:line="224"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2" w:lineRule="exact"/>
        <w:rPr>
          <w:rFonts w:ascii="Arial" w:cs="Arial" w:eastAsia="Arial" w:hAnsi="Arial"/>
          <w:sz w:val="18"/>
          <w:szCs w:val="18"/>
          <w:color w:val="auto"/>
        </w:rPr>
      </w:pPr>
    </w:p>
    <w:p>
      <w:pPr>
        <w:ind w:left="4" w:right="20" w:firstLine="644"/>
        <w:spacing w:after="0" w:line="289" w:lineRule="auto"/>
        <w:tabs>
          <w:tab w:leader="none" w:pos="972"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4" w:right="560" w:firstLine="644"/>
        <w:spacing w:after="0" w:line="235" w:lineRule="auto"/>
        <w:tabs>
          <w:tab w:leader="none" w:pos="98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28, 2022</w:t>
      </w:r>
    </w:p>
    <w:p>
      <w:pPr>
        <w:spacing w:after="0" w:line="142" w:lineRule="exact"/>
        <w:rPr>
          <w:sz w:val="20"/>
          <w:szCs w:val="20"/>
          <w:color w:val="auto"/>
        </w:rPr>
      </w:pPr>
    </w:p>
    <w:p>
      <w:pPr>
        <w:ind w:left="5084"/>
        <w:spacing w:after="0"/>
        <w:rPr>
          <w:sz w:val="20"/>
          <w:szCs w:val="20"/>
          <w:color w:val="auto"/>
        </w:rPr>
      </w:pPr>
      <w:r>
        <w:rPr>
          <w:rFonts w:ascii="Arial" w:cs="Arial" w:eastAsia="Arial" w:hAnsi="Arial"/>
          <w:sz w:val="18"/>
          <w:szCs w:val="18"/>
          <w:u w:val="single" w:color="auto"/>
          <w:color w:val="auto"/>
        </w:rPr>
        <w:t>/s/ David P. Williams</w:t>
      </w:r>
    </w:p>
    <w:p>
      <w:pPr>
        <w:ind w:left="5084"/>
        <w:spacing w:after="0" w:line="203" w:lineRule="auto"/>
        <w:rPr>
          <w:sz w:val="20"/>
          <w:szCs w:val="20"/>
          <w:color w:val="auto"/>
        </w:rPr>
      </w:pPr>
      <w:r>
        <w:rPr>
          <w:rFonts w:ascii="Arial" w:cs="Arial" w:eastAsia="Arial" w:hAnsi="Arial"/>
          <w:sz w:val="18"/>
          <w:szCs w:val="18"/>
          <w:color w:val="auto"/>
        </w:rPr>
        <w:t>David P. Williams</w:t>
      </w:r>
    </w:p>
    <w:p>
      <w:pPr>
        <w:ind w:left="5084"/>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4"/>
          </w:cols>
          <w:pgMar w:left="976" w:top="108" w:right="1039" w:bottom="1440" w:gutter="0" w:footer="0" w:header="0"/>
        </w:sectPr>
      </w:pPr>
    </w:p>
    <w:bookmarkStart w:id="127" w:name="page128"/>
    <w:bookmarkEnd w:id="127"/>
    <w:p>
      <w:pPr>
        <w:ind w:left="4404"/>
        <w:spacing w:after="0"/>
        <w:rPr>
          <w:sz w:val="20"/>
          <w:szCs w:val="20"/>
          <w:color w:val="auto"/>
        </w:rPr>
      </w:pPr>
      <w:r>
        <w:rPr>
          <w:rFonts w:ascii="Arial" w:cs="Arial" w:eastAsia="Arial" w:hAnsi="Arial"/>
          <w:sz w:val="18"/>
          <w:szCs w:val="18"/>
          <w:b w:val="1"/>
          <w:bCs w:val="1"/>
          <w:color w:val="auto"/>
        </w:rPr>
        <w:t>EXHIBIT 31.3</w:t>
      </w:r>
    </w:p>
    <w:p>
      <w:pPr>
        <w:spacing w:after="0" w:line="144" w:lineRule="exact"/>
        <w:rPr>
          <w:sz w:val="20"/>
          <w:szCs w:val="20"/>
          <w:color w:val="auto"/>
        </w:rPr>
      </w:pPr>
    </w:p>
    <w:p>
      <w:pPr>
        <w:ind w:left="1024"/>
        <w:spacing w:after="0"/>
        <w:rPr>
          <w:sz w:val="20"/>
          <w:szCs w:val="20"/>
          <w:color w:val="auto"/>
        </w:rPr>
      </w:pPr>
      <w:r>
        <w:rPr>
          <w:rFonts w:ascii="Arial" w:cs="Arial" w:eastAsia="Arial" w:hAnsi="Arial"/>
          <w:sz w:val="18"/>
          <w:szCs w:val="18"/>
          <w:b w:val="1"/>
          <w:bCs w:val="1"/>
          <w:color w:val="auto"/>
        </w:rPr>
        <w:t>CERTIFICATION PURSUANT TO RULES 13a-14(a)/15d-14(a) OF THE EXCHANGE ACT OF 1934</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Michael D. Witzeman, certify that:</w:t>
      </w:r>
    </w:p>
    <w:p>
      <w:pPr>
        <w:spacing w:after="0" w:line="144" w:lineRule="exact"/>
        <w:rPr>
          <w:sz w:val="20"/>
          <w:szCs w:val="20"/>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Chemed Corporation (“registrant”);</w:t>
      </w:r>
    </w:p>
    <w:p>
      <w:pPr>
        <w:spacing w:after="0" w:line="144" w:lineRule="exact"/>
        <w:rPr>
          <w:rFonts w:ascii="Arial" w:cs="Arial" w:eastAsia="Arial" w:hAnsi="Arial"/>
          <w:sz w:val="18"/>
          <w:szCs w:val="18"/>
          <w:color w:val="auto"/>
        </w:rPr>
      </w:pPr>
    </w:p>
    <w:p>
      <w:pPr>
        <w:ind w:left="4" w:right="120" w:hanging="4"/>
        <w:spacing w:after="0" w:line="224"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4" w:right="60" w:hanging="4"/>
        <w:spacing w:after="0" w:line="224"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22" w:lineRule="exact"/>
        <w:rPr>
          <w:rFonts w:ascii="Arial" w:cs="Arial" w:eastAsia="Arial" w:hAnsi="Arial"/>
          <w:sz w:val="18"/>
          <w:szCs w:val="18"/>
          <w:color w:val="auto"/>
        </w:rPr>
      </w:pPr>
    </w:p>
    <w:p>
      <w:pPr>
        <w:ind w:left="4" w:right="40" w:hanging="4"/>
        <w:spacing w:after="0" w:line="239" w:lineRule="auto"/>
        <w:tabs>
          <w:tab w:leader="none" w:pos="27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w:t>
      </w:r>
    </w:p>
    <w:p>
      <w:pPr>
        <w:ind w:left="4"/>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8" w:lineRule="exact"/>
        <w:rPr>
          <w:rFonts w:ascii="Arial" w:cs="Arial" w:eastAsia="Arial" w:hAnsi="Arial"/>
          <w:sz w:val="16"/>
          <w:szCs w:val="16"/>
          <w:color w:val="auto"/>
        </w:rPr>
      </w:pPr>
    </w:p>
    <w:p>
      <w:pPr>
        <w:ind w:left="4" w:firstLine="644"/>
        <w:spacing w:after="0" w:line="237" w:lineRule="auto"/>
        <w:tabs>
          <w:tab w:leader="none" w:pos="97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22" w:lineRule="exact"/>
        <w:rPr>
          <w:rFonts w:ascii="Arial" w:cs="Arial" w:eastAsia="Arial" w:hAnsi="Arial"/>
          <w:sz w:val="17"/>
          <w:szCs w:val="17"/>
          <w:color w:val="auto"/>
        </w:rPr>
      </w:pPr>
    </w:p>
    <w:p>
      <w:pPr>
        <w:ind w:left="4" w:right="300" w:firstLine="644"/>
        <w:spacing w:after="0" w:line="237" w:lineRule="auto"/>
        <w:tabs>
          <w:tab w:leader="none" w:pos="98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left="4" w:right="80" w:firstLine="644"/>
        <w:spacing w:after="0" w:line="224"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4" w:right="60" w:firstLine="644"/>
        <w:spacing w:after="0" w:line="237" w:lineRule="auto"/>
        <w:tabs>
          <w:tab w:leader="none" w:pos="98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left="4" w:right="120" w:hanging="4"/>
        <w:spacing w:after="0" w:line="224"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2" w:lineRule="exact"/>
        <w:rPr>
          <w:rFonts w:ascii="Arial" w:cs="Arial" w:eastAsia="Arial" w:hAnsi="Arial"/>
          <w:sz w:val="18"/>
          <w:szCs w:val="18"/>
          <w:color w:val="auto"/>
        </w:rPr>
      </w:pPr>
    </w:p>
    <w:p>
      <w:pPr>
        <w:ind w:left="4" w:right="20" w:firstLine="644"/>
        <w:spacing w:after="0" w:line="289" w:lineRule="auto"/>
        <w:tabs>
          <w:tab w:leader="none" w:pos="972"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4" w:right="560" w:firstLine="644"/>
        <w:spacing w:after="0" w:line="235" w:lineRule="auto"/>
        <w:tabs>
          <w:tab w:leader="none" w:pos="98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28, 2022</w:t>
      </w:r>
    </w:p>
    <w:p>
      <w:pPr>
        <w:spacing w:after="0" w:line="142" w:lineRule="exact"/>
        <w:rPr>
          <w:sz w:val="20"/>
          <w:szCs w:val="20"/>
          <w:color w:val="auto"/>
        </w:rPr>
      </w:pPr>
    </w:p>
    <w:p>
      <w:pPr>
        <w:ind w:left="5084"/>
        <w:spacing w:after="0"/>
        <w:rPr>
          <w:sz w:val="20"/>
          <w:szCs w:val="20"/>
          <w:color w:val="auto"/>
        </w:rPr>
      </w:pPr>
      <w:r>
        <w:rPr>
          <w:rFonts w:ascii="Arial" w:cs="Arial" w:eastAsia="Arial" w:hAnsi="Arial"/>
          <w:sz w:val="18"/>
          <w:szCs w:val="18"/>
          <w:u w:val="single" w:color="auto"/>
          <w:color w:val="auto"/>
        </w:rPr>
        <w:t>/s/ Michael D. Witzeman</w:t>
      </w:r>
    </w:p>
    <w:p>
      <w:pPr>
        <w:ind w:left="5084"/>
        <w:spacing w:after="0" w:line="203" w:lineRule="auto"/>
        <w:rPr>
          <w:sz w:val="20"/>
          <w:szCs w:val="20"/>
          <w:color w:val="auto"/>
        </w:rPr>
      </w:pPr>
      <w:r>
        <w:rPr>
          <w:rFonts w:ascii="Arial" w:cs="Arial" w:eastAsia="Arial" w:hAnsi="Arial"/>
          <w:sz w:val="18"/>
          <w:szCs w:val="18"/>
          <w:color w:val="auto"/>
        </w:rPr>
        <w:t>Michael D. Witzeman</w:t>
      </w:r>
    </w:p>
    <w:p>
      <w:pPr>
        <w:ind w:left="5084"/>
        <w:spacing w:after="0"/>
        <w:rPr>
          <w:sz w:val="20"/>
          <w:szCs w:val="20"/>
          <w:color w:val="auto"/>
        </w:rPr>
      </w:pPr>
      <w:r>
        <w:rPr>
          <w:rFonts w:ascii="Arial" w:cs="Arial" w:eastAsia="Arial" w:hAnsi="Arial"/>
          <w:sz w:val="18"/>
          <w:szCs w:val="18"/>
          <w:color w:val="auto"/>
        </w:rPr>
        <w:t>(Vice President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4"/>
          </w:cols>
          <w:pgMar w:left="976" w:top="108" w:right="1039" w:bottom="1440" w:gutter="0" w:footer="0" w:header="0"/>
        </w:sectPr>
      </w:pPr>
    </w:p>
    <w:bookmarkStart w:id="128" w:name="page129"/>
    <w:bookmarkEnd w:id="128"/>
    <w:p>
      <w:pPr>
        <w:ind w:left="4400"/>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CERTIFICATION BY KEVIN J. MCNAMARA</w:t>
      </w: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Section 906 of the Sarbanes-Oxley Act of 2002, the undersigned, as President and Chief Executive Officer of</w:t>
      </w:r>
    </w:p>
    <w:p>
      <w:pPr>
        <w:spacing w:after="0"/>
        <w:rPr>
          <w:sz w:val="20"/>
          <w:szCs w:val="20"/>
          <w:color w:val="auto"/>
        </w:rPr>
      </w:pPr>
      <w:r>
        <w:rPr>
          <w:rFonts w:ascii="Arial" w:cs="Arial" w:eastAsia="Arial" w:hAnsi="Arial"/>
          <w:sz w:val="18"/>
          <w:szCs w:val="18"/>
          <w:color w:val="auto"/>
        </w:rPr>
        <w:t>Chemed Corporation (“Company”), does hereby certify that:</w:t>
      </w:r>
    </w:p>
    <w:p>
      <w:pPr>
        <w:spacing w:after="0" w:line="128" w:lineRule="exact"/>
        <w:rPr>
          <w:sz w:val="20"/>
          <w:szCs w:val="20"/>
          <w:color w:val="auto"/>
        </w:rPr>
      </w:pPr>
    </w:p>
    <w:p>
      <w:pPr>
        <w:ind w:right="180" w:firstLine="644"/>
        <w:spacing w:after="0" w:line="235" w:lineRule="auto"/>
        <w:tabs>
          <w:tab w:leader="none" w:pos="9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ending December 31, 2021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right="540" w:firstLine="644"/>
        <w:spacing w:after="0" w:line="235" w:lineRule="auto"/>
        <w:tabs>
          <w:tab w:leader="none" w:pos="9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Kevin J. McNamara</w:t>
      </w:r>
    </w:p>
    <w:p>
      <w:pPr>
        <w:ind w:left="5080"/>
        <w:spacing w:after="0" w:line="203" w:lineRule="auto"/>
        <w:rPr>
          <w:sz w:val="20"/>
          <w:szCs w:val="20"/>
          <w:color w:val="auto"/>
        </w:rPr>
      </w:pPr>
      <w:r>
        <w:rPr>
          <w:rFonts w:ascii="Arial" w:cs="Arial" w:eastAsia="Arial" w:hAnsi="Arial"/>
          <w:sz w:val="18"/>
          <w:szCs w:val="18"/>
          <w:color w:val="auto"/>
        </w:rPr>
        <w:t>Kevin J. McNamara</w:t>
      </w:r>
    </w:p>
    <w:p>
      <w:pPr>
        <w:ind w:left="50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231775</wp:posOffset>
            </wp:positionV>
            <wp:extent cx="6351905"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29" w:name="page130"/>
    <w:bookmarkEnd w:id="129"/>
    <w:p>
      <w:pPr>
        <w:ind w:left="4400"/>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DAVID P. WILLIAMS</w:t>
      </w: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2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Section 906 of the Sarbanes-Oxley Act of 2002, the undersigned, as Executive Vice President and Chief Financial Officer of Chemed Corporation (“Company”), does hereby certify that:</w:t>
      </w:r>
    </w:p>
    <w:p>
      <w:pPr>
        <w:spacing w:after="0" w:line="121" w:lineRule="exact"/>
        <w:rPr>
          <w:sz w:val="20"/>
          <w:szCs w:val="20"/>
          <w:color w:val="auto"/>
        </w:rPr>
      </w:pPr>
    </w:p>
    <w:p>
      <w:pPr>
        <w:ind w:right="180" w:firstLine="644"/>
        <w:spacing w:after="0" w:line="235" w:lineRule="auto"/>
        <w:tabs>
          <w:tab w:leader="none" w:pos="9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ending December 31, 2021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right="540" w:firstLine="644"/>
        <w:spacing w:after="0" w:line="235" w:lineRule="auto"/>
        <w:tabs>
          <w:tab w:leader="none" w:pos="9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129"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David P. Williams</w:t>
      </w:r>
    </w:p>
    <w:p>
      <w:pPr>
        <w:ind w:left="5080"/>
        <w:spacing w:after="0" w:line="203" w:lineRule="auto"/>
        <w:rPr>
          <w:sz w:val="20"/>
          <w:szCs w:val="20"/>
          <w:color w:val="auto"/>
        </w:rPr>
      </w:pPr>
      <w:r>
        <w:rPr>
          <w:rFonts w:ascii="Arial" w:cs="Arial" w:eastAsia="Arial" w:hAnsi="Arial"/>
          <w:sz w:val="18"/>
          <w:szCs w:val="18"/>
          <w:color w:val="auto"/>
        </w:rPr>
        <w:t>David P. Williams</w:t>
      </w: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231775</wp:posOffset>
            </wp:positionV>
            <wp:extent cx="635190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30" w:name="page131"/>
    <w:bookmarkEnd w:id="130"/>
    <w:p>
      <w:pPr>
        <w:ind w:left="4400"/>
        <w:spacing w:after="0"/>
        <w:rPr>
          <w:sz w:val="20"/>
          <w:szCs w:val="20"/>
          <w:color w:val="auto"/>
        </w:rPr>
      </w:pPr>
      <w:r>
        <w:rPr>
          <w:rFonts w:ascii="Arial" w:cs="Arial" w:eastAsia="Arial" w:hAnsi="Arial"/>
          <w:sz w:val="18"/>
          <w:szCs w:val="18"/>
          <w:b w:val="1"/>
          <w:bCs w:val="1"/>
          <w:color w:val="auto"/>
        </w:rPr>
        <w:t>EXHIBIT 32.3</w:t>
      </w:r>
    </w:p>
    <w:p>
      <w:pPr>
        <w:spacing w:after="0" w:line="13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CERTIFICATION MICHAEL D. WITZEMAN</w:t>
      </w:r>
    </w:p>
    <w:p>
      <w:pPr>
        <w:jc w:val="center"/>
        <w:ind w:right="-17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28"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Pursuant to Section 906 of the Sarbanes-Oxley Act of 2002, the undersigned, as Vice President and Controller of Chemed Corporation (“Company”), does hereby certify that:</w:t>
      </w:r>
    </w:p>
    <w:p>
      <w:pPr>
        <w:spacing w:after="0" w:line="121" w:lineRule="exact"/>
        <w:rPr>
          <w:sz w:val="20"/>
          <w:szCs w:val="20"/>
          <w:color w:val="auto"/>
        </w:rPr>
      </w:pPr>
    </w:p>
    <w:p>
      <w:pPr>
        <w:ind w:firstLine="644"/>
        <w:spacing w:after="0" w:line="235" w:lineRule="auto"/>
        <w:tabs>
          <w:tab w:leader="none" w:pos="9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ending December 31, 2021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right="360" w:firstLine="644"/>
        <w:spacing w:after="0" w:line="235" w:lineRule="auto"/>
        <w:tabs>
          <w:tab w:leader="none" w:pos="9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Michael D. Witzeman</w:t>
      </w:r>
    </w:p>
    <w:p>
      <w:pPr>
        <w:ind w:left="5080"/>
        <w:spacing w:after="0" w:line="203" w:lineRule="auto"/>
        <w:rPr>
          <w:sz w:val="20"/>
          <w:szCs w:val="20"/>
          <w:color w:val="auto"/>
        </w:rPr>
      </w:pPr>
      <w:r>
        <w:rPr>
          <w:rFonts w:ascii="Arial" w:cs="Arial" w:eastAsia="Arial" w:hAnsi="Arial"/>
          <w:sz w:val="18"/>
          <w:szCs w:val="18"/>
          <w:color w:val="auto"/>
        </w:rPr>
        <w:t>Michael D. Witzeman</w:t>
      </w:r>
    </w:p>
    <w:p>
      <w:pPr>
        <w:ind w:left="5080"/>
        <w:spacing w:after="0"/>
        <w:rPr>
          <w:sz w:val="20"/>
          <w:szCs w:val="20"/>
          <w:color w:val="auto"/>
        </w:rPr>
      </w:pPr>
      <w:r>
        <w:rPr>
          <w:rFonts w:ascii="Arial" w:cs="Arial" w:eastAsia="Arial" w:hAnsi="Arial"/>
          <w:sz w:val="18"/>
          <w:szCs w:val="18"/>
          <w:color w:val="auto"/>
        </w:rPr>
        <w:t>(Vice President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231775</wp:posOffset>
            </wp:positionV>
            <wp:extent cx="635190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740"/>
      </w:cols>
      <w:pgMar w:left="980" w:top="108"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3"/>
    </w:lvl>
  </w:abstractNum>
  <w:abstractNum w:abstractNumId="6">
    <w:nsid w:val="DED7263"/>
    <w:multiLevelType w:val="hybridMultilevel"/>
    <w:lvl w:ilvl="0">
      <w:lvlJc w:val="left"/>
      <w:lvlText w:val="%1"/>
      <w:numFmt w:val="decimal"/>
      <w:start w:val="21"/>
    </w:lvl>
  </w:abstractNum>
  <w:abstractNum w:abstractNumId="7">
    <w:nsid w:val="7FDCC233"/>
    <w:multiLevelType w:val="hybridMultilevel"/>
    <w:lvl w:ilvl="0">
      <w:lvlJc w:val="left"/>
      <w:lvlText w:val="%1"/>
      <w:numFmt w:val="decimal"/>
      <w:start w:val="23"/>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upperLetter"/>
      <w:start w:val="44"/>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51" Type="http://schemas.openxmlformats.org/officeDocument/2006/relationships/hyperlink" Target="http://www.sec.gov/Archives/edgar/data/19584/000115752306005262/a5149232-ex31.txt" TargetMode="External"/><Relationship Id="rId52" Type="http://schemas.openxmlformats.org/officeDocument/2006/relationships/hyperlink" Target="http://www.sec.gov/Archives/edgar/data/19584/000115752317000541/0001157523-17-000541-index.htm" TargetMode="External"/><Relationship Id="rId53" Type="http://schemas.openxmlformats.org/officeDocument/2006/relationships/hyperlink" Target="http://www.sec.gov/Archives/edgar/data/19584/000001958420000006/che-20191231xex4_1.htm" TargetMode="External"/><Relationship Id="rId54" Type="http://schemas.openxmlformats.org/officeDocument/2006/relationships/hyperlink" Target="http://www.sec.gov/Archives/edgar/data/19584/000115752306008218/a5201823ex10_1.txt" TargetMode="External"/><Relationship Id="rId55" Type="http://schemas.openxmlformats.org/officeDocument/2006/relationships/hyperlink" Target="http://www.sec.gov/Archives/edgar/data/19584/000115752310003256/a6295507ex991.htm" TargetMode="External"/><Relationship Id="rId56" Type="http://schemas.openxmlformats.org/officeDocument/2006/relationships/hyperlink" Target="http://www.sec.gov/Archives/edgar/data/19584/000115752315002342/a51133859.htm" TargetMode="External"/><Relationship Id="rId57" Type="http://schemas.openxmlformats.org/officeDocument/2006/relationships/hyperlink" Target="http://www.sec.gov/Archives/edgar/data/19584/000115752318001181/a51799959.htm" TargetMode="External"/><Relationship Id="rId58" Type="http://schemas.openxmlformats.org/officeDocument/2006/relationships/hyperlink" Target="http://www.sec.gov/Archives/edgar/data/19584/000115752306011827/a5284057ex10_1.txt" TargetMode="External"/><Relationship Id="rId59" Type="http://schemas.openxmlformats.org/officeDocument/2006/relationships/hyperlink" Target="http://www.sec.gov/Archives/edgar/data/19584/000115752309007488/a6087067ex10-2.htm" TargetMode="External"/><Relationship Id="rId60" Type="http://schemas.openxmlformats.org/officeDocument/2006/relationships/hyperlink" Target="http://www.sec.gov/Archives/edgar/data/19584/000115752316005842/a51358689ex10_1.htm" TargetMode="External"/><Relationship Id="rId61" Type="http://schemas.openxmlformats.org/officeDocument/2006/relationships/hyperlink" Target="http://www.sec.gov/Archives/edgar/data/19584/000115752308003813/a5678109ex10_01.htm" TargetMode="External"/><Relationship Id="rId62" Type="http://schemas.openxmlformats.org/officeDocument/2006/relationships/hyperlink" Target="http://www.sec.gov/Archives/edgar/data/19584/000115752309007488/a6087067ex10-1.htm" TargetMode="External"/><Relationship Id="rId63" Type="http://schemas.openxmlformats.org/officeDocument/2006/relationships/hyperlink" Target="http://www.sec.gov/Archives/edgar/data/19584/000095015204001868/l05867aexv10w24.txt" TargetMode="External"/><Relationship Id="rId64" Type="http://schemas.openxmlformats.org/officeDocument/2006/relationships/hyperlink" Target="http://www.sec.gov/Archives/edgar/data/19584/000095015204001868/l05867aexv10w25.txt" TargetMode="External"/><Relationship Id="rId65" Type="http://schemas.openxmlformats.org/officeDocument/2006/relationships/hyperlink" Target="http://www.sec.gov/Archives/edgar/data/19584/000095015204001868/l05867aexv10w26.txt" TargetMode="External"/><Relationship Id="rId68" Type="http://schemas.openxmlformats.org/officeDocument/2006/relationships/hyperlink" Target="http://www.sec.gov/Archives/edgar/data/19584/0000950152-99-002361.txt" TargetMode="External"/><Relationship Id="rId69" Type="http://schemas.openxmlformats.org/officeDocument/2006/relationships/hyperlink" Target="http://www.sec.gov/Archives/edgar/data/19584/000102140802004235/dex1022.txt" TargetMode="External"/><Relationship Id="rId70" Type="http://schemas.openxmlformats.org/officeDocument/2006/relationships/hyperlink" Target="http://www.sec.gov/Archives/edgar/data/19584/000102140802004235/dex1023.txt" TargetMode="External"/><Relationship Id="rId71" Type="http://schemas.openxmlformats.org/officeDocument/2006/relationships/hyperlink" Target="http://www.sec.gov/Archives/edgar/data/19584/000102140802004235/dex1024.txt" TargetMode="External"/><Relationship Id="rId72" Type="http://schemas.openxmlformats.org/officeDocument/2006/relationships/hyperlink" Target="http://www.sec.gov/Archives/edgar/data/19584/000095015201001708/l87012aex10-37.txt" TargetMode="External"/><Relationship Id="rId73" Type="http://schemas.openxmlformats.org/officeDocument/2006/relationships/hyperlink" Target="http://www.sec.gov/Archives/edgar/data/19584/000095015201001708/l87012aex10-38.txt" TargetMode="External"/><Relationship Id="rId74" Type="http://schemas.openxmlformats.org/officeDocument/2006/relationships/hyperlink" Target="http://www.sec.gov/Archives/edgar/data/19584/000115752314000846/a50809562ex10_32.htm" TargetMode="External"/><Relationship Id="rId75" Type="http://schemas.openxmlformats.org/officeDocument/2006/relationships/hyperlink" Target="http://www.sec.gov/Archives/edgar/data/19584/000095015205002641/l12498bexv10w51.txt" TargetMode="External"/><Relationship Id="rId76" Type="http://schemas.openxmlformats.org/officeDocument/2006/relationships/hyperlink" Target="http://www.sec.gov/Archives/edgar/data/19584/000115752314000846/a50809562ex10_35.htm" TargetMode="External"/><Relationship Id="rId77" Type="http://schemas.openxmlformats.org/officeDocument/2006/relationships/hyperlink" Target="http://www.sec.gov/Archives/edgar/data/19584/000115752316004755/a51283782ex10.htm" TargetMode="External"/><Relationship Id="rId78" Type="http://schemas.openxmlformats.org/officeDocument/2006/relationships/hyperlink" Target="http://www.sec.gov/Archives/edgar/data/19584/000001958420000006/che-20191231xex10_29.htm" TargetMode="External"/><Relationship Id="rId79" Type="http://schemas.openxmlformats.org/officeDocument/2006/relationships/hyperlink" Target="http://www.sec.gov/Archives/edgar/data/19584/000115752317002997/a51709692ex10_01.htm" TargetMode="External"/><Relationship Id="rId87" Type="http://schemas.openxmlformats.org/officeDocument/2006/relationships/hyperlink" Target="http://www.sec.gov/Archives/edgar/data/19584/000115752317002997/a51709692ex10_02.htm" TargetMode="External"/><Relationship Id="rId97" Type="http://schemas.openxmlformats.org/officeDocument/2006/relationships/hyperlink" Target="http://www.sec.gov/Archives/edgar/data/19584/000115752318001331/a51826107ex10_1.htm" TargetMode="External"/><Relationship Id="rId98" Type="http://schemas.openxmlformats.org/officeDocument/2006/relationships/hyperlink" Target="http://www.sec.gov/Archives/edgar/data/19584/000115752314000846/a50809562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2022-02-28T09:45:07Z</dcterms:created>
  <dcterms:modified xsi:type="dcterms:W3CDTF">2022-02-28T09:45:07Z</dcterms:modified>
</cp:coreProperties>
</file>